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4453A" w:rsidRPr="0034453A" w:rsidTr="007456D0">
        <w:tc>
          <w:tcPr>
            <w:tcW w:w="9072" w:type="dxa"/>
            <w:shd w:val="clear" w:color="auto" w:fill="auto"/>
          </w:tcPr>
          <w:p w:rsidR="00DA18B9" w:rsidRPr="0034453A" w:rsidRDefault="00DA18B9" w:rsidP="00327D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34453A">
              <w:rPr>
                <w:rFonts w:cs="Arial"/>
                <w:b/>
                <w:bCs/>
                <w:szCs w:val="24"/>
              </w:rPr>
              <w:t xml:space="preserve">NORMA DE PROCEDIMENTO – </w:t>
            </w:r>
            <w:r w:rsidR="00EF1D9F" w:rsidRPr="0034453A">
              <w:rPr>
                <w:rFonts w:cs="Arial"/>
                <w:b/>
                <w:bCs/>
                <w:szCs w:val="24"/>
              </w:rPr>
              <w:t xml:space="preserve">SCL </w:t>
            </w:r>
            <w:r w:rsidR="00E61AF8" w:rsidRPr="0034453A">
              <w:rPr>
                <w:rFonts w:cs="Arial"/>
                <w:b/>
                <w:bCs/>
                <w:szCs w:val="24"/>
              </w:rPr>
              <w:t>N</w:t>
            </w:r>
            <w:r w:rsidR="00D55D5C" w:rsidRPr="0034453A">
              <w:rPr>
                <w:rFonts w:cs="Arial"/>
                <w:b/>
                <w:bCs/>
                <w:szCs w:val="24"/>
              </w:rPr>
              <w:t>º</w:t>
            </w:r>
            <w:r w:rsidR="00EF1D9F" w:rsidRPr="0034453A">
              <w:rPr>
                <w:rFonts w:cs="Arial"/>
                <w:b/>
                <w:bCs/>
                <w:szCs w:val="24"/>
              </w:rPr>
              <w:t xml:space="preserve"> 00</w:t>
            </w:r>
            <w:r w:rsidR="00930B71" w:rsidRPr="0034453A">
              <w:rPr>
                <w:rFonts w:cs="Arial"/>
                <w:b/>
                <w:bCs/>
                <w:szCs w:val="24"/>
              </w:rPr>
              <w:t>9</w:t>
            </w:r>
          </w:p>
        </w:tc>
      </w:tr>
    </w:tbl>
    <w:p w:rsidR="00DA18B9" w:rsidRPr="0034453A" w:rsidRDefault="00DA18B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81"/>
        <w:gridCol w:w="2806"/>
      </w:tblGrid>
      <w:tr w:rsidR="0034453A" w:rsidRPr="0034453A" w:rsidTr="007456D0">
        <w:tc>
          <w:tcPr>
            <w:tcW w:w="1418" w:type="dxa"/>
            <w:vAlign w:val="center"/>
          </w:tcPr>
          <w:p w:rsidR="00DA18B9" w:rsidRPr="0034453A" w:rsidRDefault="00DA18B9" w:rsidP="00327D0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34453A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DA18B9" w:rsidRPr="0034453A" w:rsidRDefault="00E12400" w:rsidP="00327D05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jc w:val="left"/>
              <w:rPr>
                <w:rFonts w:cs="Arial"/>
                <w:bCs/>
                <w:szCs w:val="24"/>
              </w:rPr>
            </w:pPr>
            <w:r w:rsidRPr="0034453A">
              <w:rPr>
                <w:rFonts w:cs="Arial"/>
                <w:bCs/>
                <w:szCs w:val="24"/>
              </w:rPr>
              <w:t>Revisão de Preços nas</w:t>
            </w:r>
            <w:r w:rsidR="00823721" w:rsidRPr="0034453A">
              <w:rPr>
                <w:rFonts w:cs="Arial"/>
                <w:bCs/>
                <w:szCs w:val="24"/>
              </w:rPr>
              <w:t xml:space="preserve"> Atas de Registro de Preços</w:t>
            </w:r>
          </w:p>
        </w:tc>
      </w:tr>
      <w:tr w:rsidR="00DA18B9" w:rsidRPr="002E3808" w:rsidTr="007456D0">
        <w:tc>
          <w:tcPr>
            <w:tcW w:w="1418" w:type="dxa"/>
            <w:vAlign w:val="center"/>
          </w:tcPr>
          <w:p w:rsidR="00DA18B9" w:rsidRPr="002E3808" w:rsidRDefault="00DA18B9" w:rsidP="00327D0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DA18B9" w:rsidRPr="00832C1F" w:rsidRDefault="00DA18B9" w:rsidP="00327D0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color w:val="000000"/>
                <w:szCs w:val="24"/>
              </w:rPr>
              <w:t xml:space="preserve">Secretaria de Estado de Gestão e Recursos </w:t>
            </w:r>
            <w:r w:rsidRPr="00832C1F">
              <w:rPr>
                <w:rFonts w:cs="Arial"/>
                <w:bCs/>
                <w:szCs w:val="24"/>
              </w:rPr>
              <w:t>Humanos – SEGER</w:t>
            </w:r>
          </w:p>
        </w:tc>
      </w:tr>
      <w:tr w:rsidR="00DA18B9" w:rsidRPr="002E3808" w:rsidTr="007456D0">
        <w:tc>
          <w:tcPr>
            <w:tcW w:w="1418" w:type="dxa"/>
            <w:vAlign w:val="center"/>
          </w:tcPr>
          <w:p w:rsidR="00DA18B9" w:rsidRPr="002E3808" w:rsidRDefault="00DA18B9" w:rsidP="00327D0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DA18B9" w:rsidRPr="00832C1F" w:rsidRDefault="00DA18B9" w:rsidP="00327D0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szCs w:val="24"/>
              </w:rPr>
              <w:t xml:space="preserve">Sistema de </w:t>
            </w:r>
            <w:r w:rsidR="007C6321">
              <w:rPr>
                <w:rFonts w:cs="Arial"/>
                <w:bCs/>
                <w:szCs w:val="24"/>
              </w:rPr>
              <w:t xml:space="preserve">Compras, </w:t>
            </w:r>
            <w:r w:rsidR="00C25F28">
              <w:rPr>
                <w:rFonts w:cs="Arial"/>
                <w:bCs/>
                <w:szCs w:val="24"/>
              </w:rPr>
              <w:t>Licitações e Contratos</w:t>
            </w:r>
          </w:p>
        </w:tc>
        <w:tc>
          <w:tcPr>
            <w:tcW w:w="2806" w:type="dxa"/>
            <w:vAlign w:val="center"/>
          </w:tcPr>
          <w:p w:rsidR="00DA18B9" w:rsidRPr="00832C1F" w:rsidRDefault="00DA18B9" w:rsidP="00327D0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/>
                <w:bCs/>
                <w:color w:val="000000"/>
                <w:szCs w:val="24"/>
              </w:rPr>
              <w:t xml:space="preserve">Código: </w:t>
            </w:r>
            <w:r w:rsidRPr="00832C1F">
              <w:rPr>
                <w:rFonts w:cs="Arial"/>
                <w:bCs/>
                <w:szCs w:val="24"/>
              </w:rPr>
              <w:t>S</w:t>
            </w:r>
            <w:r w:rsidR="005E50EF">
              <w:rPr>
                <w:rFonts w:cs="Arial"/>
                <w:bCs/>
                <w:szCs w:val="24"/>
              </w:rPr>
              <w:t>CL</w:t>
            </w:r>
          </w:p>
        </w:tc>
      </w:tr>
      <w:tr w:rsidR="00DB4FDB" w:rsidRPr="002E3808" w:rsidTr="007456D0">
        <w:tc>
          <w:tcPr>
            <w:tcW w:w="1418" w:type="dxa"/>
            <w:vAlign w:val="center"/>
          </w:tcPr>
          <w:p w:rsidR="00DB4FDB" w:rsidRPr="002E3808" w:rsidRDefault="00DB4FDB" w:rsidP="00DB4FD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DB4FDB" w:rsidRPr="0095271F" w:rsidRDefault="00DB4FDB" w:rsidP="006716E0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95271F">
              <w:rPr>
                <w:rFonts w:cs="Arial"/>
                <w:bCs/>
                <w:szCs w:val="24"/>
              </w:rPr>
              <w:t>0</w:t>
            </w:r>
            <w:r w:rsidR="006716E0" w:rsidRPr="0095271F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DB4FDB" w:rsidRPr="0095271F" w:rsidRDefault="00DB4FDB" w:rsidP="00D500E0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95271F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95271F">
              <w:rPr>
                <w:rFonts w:cs="Arial"/>
                <w:bCs/>
                <w:szCs w:val="24"/>
              </w:rPr>
              <w:t xml:space="preserve">Portaria n.º </w:t>
            </w:r>
            <w:r w:rsidR="00D500E0">
              <w:rPr>
                <w:rFonts w:cs="Arial"/>
                <w:bCs/>
                <w:szCs w:val="24"/>
              </w:rPr>
              <w:t>36</w:t>
            </w:r>
            <w:r w:rsidRPr="0095271F">
              <w:rPr>
                <w:rFonts w:cs="Arial"/>
                <w:bCs/>
                <w:szCs w:val="24"/>
              </w:rPr>
              <w:t>-R/201</w:t>
            </w:r>
            <w:r w:rsidR="00715B1F" w:rsidRPr="0095271F">
              <w:rPr>
                <w:rFonts w:cs="Arial"/>
                <w:bCs/>
                <w:szCs w:val="24"/>
              </w:rPr>
              <w:t>9</w:t>
            </w:r>
          </w:p>
        </w:tc>
        <w:tc>
          <w:tcPr>
            <w:tcW w:w="2806" w:type="dxa"/>
            <w:vAlign w:val="center"/>
          </w:tcPr>
          <w:p w:rsidR="00DB4FDB" w:rsidRPr="0095271F" w:rsidRDefault="00DB4FDB" w:rsidP="00D500E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95271F">
              <w:rPr>
                <w:rFonts w:cs="Arial"/>
                <w:b/>
                <w:bCs/>
                <w:szCs w:val="24"/>
              </w:rPr>
              <w:t>Vigência:</w:t>
            </w:r>
            <w:r w:rsidRPr="0095271F">
              <w:rPr>
                <w:rFonts w:cs="Arial"/>
                <w:bCs/>
                <w:szCs w:val="24"/>
              </w:rPr>
              <w:t xml:space="preserve"> </w:t>
            </w:r>
            <w:r w:rsidR="00D500E0">
              <w:rPr>
                <w:rFonts w:cs="Arial"/>
                <w:bCs/>
                <w:szCs w:val="24"/>
              </w:rPr>
              <w:t>20</w:t>
            </w:r>
            <w:r w:rsidR="006716E0" w:rsidRPr="0095271F">
              <w:rPr>
                <w:rFonts w:cs="Arial"/>
                <w:bCs/>
                <w:szCs w:val="24"/>
              </w:rPr>
              <w:t>/</w:t>
            </w:r>
            <w:r w:rsidR="00D500E0">
              <w:rPr>
                <w:rFonts w:cs="Arial"/>
                <w:bCs/>
                <w:szCs w:val="24"/>
              </w:rPr>
              <w:t>12</w:t>
            </w:r>
            <w:r w:rsidR="006716E0" w:rsidRPr="0095271F">
              <w:rPr>
                <w:rFonts w:cs="Arial"/>
                <w:bCs/>
                <w:szCs w:val="24"/>
              </w:rPr>
              <w:t>/2019</w:t>
            </w:r>
          </w:p>
        </w:tc>
      </w:tr>
    </w:tbl>
    <w:p w:rsidR="00417774" w:rsidRDefault="00DF144B" w:rsidP="009B7133">
      <w:pPr>
        <w:pStyle w:val="Ttulo1"/>
        <w:widowControl w:val="0"/>
        <w:numPr>
          <w:ilvl w:val="0"/>
          <w:numId w:val="3"/>
        </w:numPr>
        <w:tabs>
          <w:tab w:val="left" w:pos="142"/>
        </w:tabs>
        <w:spacing w:before="240"/>
        <w:ind w:left="284" w:hanging="284"/>
      </w:pPr>
      <w:r>
        <w:t>OBJETIVOS</w:t>
      </w:r>
    </w:p>
    <w:p w:rsidR="00B6610C" w:rsidRPr="00417774" w:rsidRDefault="00DF144B" w:rsidP="00327D05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b w:val="0"/>
        </w:rPr>
      </w:pPr>
      <w:r w:rsidRPr="00417774">
        <w:rPr>
          <w:b w:val="0"/>
        </w:rPr>
        <w:t xml:space="preserve">Padronizar os processos de </w:t>
      </w:r>
      <w:r w:rsidR="00786DD3">
        <w:rPr>
          <w:b w:val="0"/>
        </w:rPr>
        <w:t xml:space="preserve">revisão de preços nas </w:t>
      </w:r>
      <w:r w:rsidR="00374A76">
        <w:rPr>
          <w:b w:val="0"/>
        </w:rPr>
        <w:t>Atas de Registro de P</w:t>
      </w:r>
      <w:r w:rsidR="00823721">
        <w:rPr>
          <w:b w:val="0"/>
        </w:rPr>
        <w:t>reços</w:t>
      </w:r>
      <w:r w:rsidR="00B6610C" w:rsidRPr="00417774">
        <w:rPr>
          <w:b w:val="0"/>
        </w:rPr>
        <w:t>.</w:t>
      </w:r>
    </w:p>
    <w:p w:rsidR="004B576D" w:rsidRPr="004B576D" w:rsidRDefault="00DF144B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>
        <w:t>ABRANGÊNCIA</w:t>
      </w:r>
    </w:p>
    <w:p w:rsidR="00B6610C" w:rsidRPr="004B576D" w:rsidRDefault="00DF144B" w:rsidP="00327D05">
      <w:pPr>
        <w:pStyle w:val="Ttulo1"/>
        <w:widowControl w:val="0"/>
        <w:numPr>
          <w:ilvl w:val="0"/>
          <w:numId w:val="5"/>
        </w:numPr>
        <w:spacing w:before="240"/>
        <w:ind w:left="567" w:hanging="567"/>
        <w:rPr>
          <w:b w:val="0"/>
        </w:rPr>
      </w:pPr>
      <w:r w:rsidRPr="004B576D">
        <w:rPr>
          <w:b w:val="0"/>
        </w:rPr>
        <w:t>Órgãos da Administração Direta e entidades da Administração Indireta do Poder Executivo Estadual, exceto as em</w:t>
      </w:r>
      <w:r w:rsidR="00A13836">
        <w:rPr>
          <w:b w:val="0"/>
        </w:rPr>
        <w:t>presas públicas e as sociedades de</w:t>
      </w:r>
      <w:r w:rsidRPr="00E97437">
        <w:rPr>
          <w:b w:val="0"/>
          <w:color w:val="FF0000"/>
        </w:rPr>
        <w:t xml:space="preserve"> </w:t>
      </w:r>
      <w:r w:rsidRPr="004B576D">
        <w:rPr>
          <w:b w:val="0"/>
        </w:rPr>
        <w:t>economia mista</w:t>
      </w:r>
      <w:r w:rsidR="00B6610C" w:rsidRPr="004B576D">
        <w:rPr>
          <w:b w:val="0"/>
        </w:rPr>
        <w:t>.</w:t>
      </w:r>
    </w:p>
    <w:p w:rsidR="004B576D" w:rsidRPr="004B576D" w:rsidRDefault="00DF144B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>
        <w:t>FUNDAMENTAÇÃO LEGAL</w:t>
      </w:r>
    </w:p>
    <w:p w:rsidR="004B576D" w:rsidRDefault="00DF144B" w:rsidP="00327D05">
      <w:pPr>
        <w:pStyle w:val="N11"/>
        <w:widowControl w:val="0"/>
        <w:numPr>
          <w:ilvl w:val="0"/>
          <w:numId w:val="6"/>
        </w:numPr>
        <w:ind w:left="567" w:hanging="567"/>
      </w:pPr>
      <w:r w:rsidRPr="00374A76">
        <w:rPr>
          <w:b/>
        </w:rPr>
        <w:t>L</w:t>
      </w:r>
      <w:r w:rsidR="00A13836" w:rsidRPr="00374A76">
        <w:rPr>
          <w:b/>
        </w:rPr>
        <w:t xml:space="preserve">ei Federal </w:t>
      </w:r>
      <w:r w:rsidR="00D55D5C" w:rsidRPr="00374A76">
        <w:rPr>
          <w:b/>
        </w:rPr>
        <w:t>n.º</w:t>
      </w:r>
      <w:r w:rsidR="00A13836" w:rsidRPr="00374A76">
        <w:rPr>
          <w:b/>
        </w:rPr>
        <w:t xml:space="preserve"> 8.666</w:t>
      </w:r>
      <w:r w:rsidR="00A13836">
        <w:t xml:space="preserve">, de 21/06/1993 </w:t>
      </w:r>
      <w:r w:rsidR="001C28DE">
        <w:t xml:space="preserve">– </w:t>
      </w:r>
      <w:r>
        <w:t>Regulamenta o art. 37, inciso XXI, da Constituição Federal e institui normas para licitações e con</w:t>
      </w:r>
      <w:r w:rsidR="007C38B5">
        <w:t>tratos da Administração Pública.</w:t>
      </w:r>
    </w:p>
    <w:p w:rsidR="001C1DAC" w:rsidRDefault="00DF144B" w:rsidP="00327D05">
      <w:pPr>
        <w:pStyle w:val="N11"/>
        <w:widowControl w:val="0"/>
        <w:numPr>
          <w:ilvl w:val="0"/>
          <w:numId w:val="6"/>
        </w:numPr>
        <w:ind w:left="567" w:hanging="567"/>
      </w:pPr>
      <w:r w:rsidRPr="00374A76">
        <w:rPr>
          <w:b/>
        </w:rPr>
        <w:t xml:space="preserve">Decreto Estadual </w:t>
      </w:r>
      <w:r w:rsidR="00D55D5C" w:rsidRPr="00374A76">
        <w:rPr>
          <w:b/>
        </w:rPr>
        <w:t>n.º</w:t>
      </w:r>
      <w:r w:rsidR="00B00975" w:rsidRPr="00374A76">
        <w:rPr>
          <w:b/>
        </w:rPr>
        <w:t xml:space="preserve"> </w:t>
      </w:r>
      <w:r w:rsidR="00603B67" w:rsidRPr="00374A76">
        <w:rPr>
          <w:b/>
        </w:rPr>
        <w:t>1.790</w:t>
      </w:r>
      <w:r w:rsidRPr="00374A76">
        <w:rPr>
          <w:b/>
        </w:rPr>
        <w:t>-R</w:t>
      </w:r>
      <w:r w:rsidR="00C739D3">
        <w:t>,</w:t>
      </w:r>
      <w:r w:rsidR="001B7EC2">
        <w:t xml:space="preserve"> de</w:t>
      </w:r>
      <w:r w:rsidR="00C739D3">
        <w:t xml:space="preserve"> </w:t>
      </w:r>
      <w:r w:rsidR="00BD75CD">
        <w:t>24/01/</w:t>
      </w:r>
      <w:r w:rsidR="001B7EC2" w:rsidRPr="001B7EC2">
        <w:t>2007</w:t>
      </w:r>
      <w:r w:rsidR="0072228E">
        <w:t xml:space="preserve"> </w:t>
      </w:r>
      <w:r w:rsidR="00B00975">
        <w:t xml:space="preserve">– </w:t>
      </w:r>
      <w:r w:rsidR="001B7EC2" w:rsidRPr="001B7EC2">
        <w:t>Regulamenta o Sistema de Registro de Preços, previsto no art. 15, inciso II, da Lei</w:t>
      </w:r>
      <w:r w:rsidR="001B7EC2">
        <w:t xml:space="preserve"> Federal</w:t>
      </w:r>
      <w:r w:rsidR="001B7EC2" w:rsidRPr="001B7EC2">
        <w:t xml:space="preserve"> n.</w:t>
      </w:r>
      <w:r w:rsidR="001B7EC2">
        <w:t>º 8.666, de 21/06/</w:t>
      </w:r>
      <w:r w:rsidR="001B7EC2" w:rsidRPr="001B7EC2">
        <w:t>1993, no âmbito da Administração Pública Estadual</w:t>
      </w:r>
      <w:r w:rsidR="007C38B5">
        <w:t>.</w:t>
      </w:r>
    </w:p>
    <w:p w:rsidR="00A35BCA" w:rsidRPr="003B1B5E" w:rsidRDefault="00193D1C" w:rsidP="00327D05">
      <w:pPr>
        <w:pStyle w:val="N11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/>
        <w:ind w:left="567" w:hanging="567"/>
      </w:pPr>
      <w:r w:rsidRPr="00374A76">
        <w:rPr>
          <w:b/>
        </w:rPr>
        <w:t>Portaria SEGER/PGE/SECONT n.</w:t>
      </w:r>
      <w:r w:rsidR="002F2E5F" w:rsidRPr="00374A76">
        <w:rPr>
          <w:b/>
        </w:rPr>
        <w:t xml:space="preserve">º </w:t>
      </w:r>
      <w:r w:rsidR="007D1D93" w:rsidRPr="00374A76">
        <w:rPr>
          <w:b/>
        </w:rPr>
        <w:t>0</w:t>
      </w:r>
      <w:r w:rsidR="002F2E5F" w:rsidRPr="00374A76">
        <w:rPr>
          <w:b/>
        </w:rPr>
        <w:t>49-R</w:t>
      </w:r>
      <w:r w:rsidRPr="003B1B5E">
        <w:t xml:space="preserve">, de 24/08/2010 – </w:t>
      </w:r>
      <w:r w:rsidR="00DE7491" w:rsidRPr="003B1B5E">
        <w:t>Dispõe sobre normas e procedimentos relativos à gestão de Contratos Administrativos no âmbito da Administração Pública Estadual</w:t>
      </w:r>
      <w:r w:rsidRPr="003B1B5E">
        <w:t>.</w:t>
      </w:r>
    </w:p>
    <w:p w:rsidR="007D1D75" w:rsidRPr="003B1B5E" w:rsidRDefault="00B6610C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B1B5E">
        <w:t>D</w:t>
      </w:r>
      <w:r w:rsidR="00F15742" w:rsidRPr="003B1B5E">
        <w:t>EFINIÇÕES</w:t>
      </w:r>
    </w:p>
    <w:p w:rsidR="00C222C3" w:rsidRPr="003B1B5E" w:rsidRDefault="00C222C3" w:rsidP="00327D05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B1B5E">
        <w:rPr>
          <w:rFonts w:cs="Arial"/>
          <w:szCs w:val="24"/>
        </w:rPr>
        <w:t xml:space="preserve">Sistema de Registro de Preços (SRP) – </w:t>
      </w:r>
      <w:r w:rsidRPr="003B1B5E">
        <w:rPr>
          <w:rFonts w:cs="Arial"/>
          <w:b w:val="0"/>
          <w:szCs w:val="24"/>
        </w:rPr>
        <w:t xml:space="preserve">Conjunto de procedimentos para registro formal de preços relativos à prestação de serviços e aquisição de </w:t>
      </w:r>
      <w:r w:rsidR="007C38B5">
        <w:rPr>
          <w:rFonts w:cs="Arial"/>
          <w:b w:val="0"/>
          <w:szCs w:val="24"/>
        </w:rPr>
        <w:t>bens, para contratações futuras.</w:t>
      </w:r>
    </w:p>
    <w:p w:rsidR="00FE2964" w:rsidRPr="003B1B5E" w:rsidRDefault="004242AA" w:rsidP="00327D05">
      <w:pPr>
        <w:pStyle w:val="Ttulo1"/>
        <w:widowControl w:val="0"/>
        <w:numPr>
          <w:ilvl w:val="0"/>
          <w:numId w:val="7"/>
        </w:numPr>
        <w:spacing w:before="240"/>
        <w:ind w:left="567" w:hanging="567"/>
      </w:pPr>
      <w:r w:rsidRPr="003B1B5E">
        <w:t>Fornecedor</w:t>
      </w:r>
      <w:r w:rsidR="00CA2523" w:rsidRPr="003B1B5E">
        <w:t xml:space="preserve"> – </w:t>
      </w:r>
      <w:r w:rsidR="00CA2523" w:rsidRPr="003B1B5E">
        <w:rPr>
          <w:b w:val="0"/>
        </w:rPr>
        <w:t>Pessoa física ou jurídica</w:t>
      </w:r>
      <w:r w:rsidR="00F045D3" w:rsidRPr="003B1B5E">
        <w:rPr>
          <w:b w:val="0"/>
        </w:rPr>
        <w:t xml:space="preserve"> </w:t>
      </w:r>
      <w:r w:rsidR="00C15C21" w:rsidRPr="003B1B5E">
        <w:rPr>
          <w:b w:val="0"/>
        </w:rPr>
        <w:t xml:space="preserve">cujos preços </w:t>
      </w:r>
      <w:r w:rsidR="006A2E01" w:rsidRPr="003B1B5E">
        <w:rPr>
          <w:b w:val="0"/>
        </w:rPr>
        <w:t>para os bens ou serviços estão</w:t>
      </w:r>
      <w:r w:rsidR="00C15C21" w:rsidRPr="003B1B5E">
        <w:rPr>
          <w:b w:val="0"/>
        </w:rPr>
        <w:t xml:space="preserve"> registrados na Ata de Registro de Preços ou, ainda, aqueles que participaram</w:t>
      </w:r>
      <w:r w:rsidR="00CB2103" w:rsidRPr="003B1B5E">
        <w:rPr>
          <w:b w:val="0"/>
        </w:rPr>
        <w:t xml:space="preserve"> do certame</w:t>
      </w:r>
      <w:r w:rsidR="00C15C21" w:rsidRPr="003B1B5E">
        <w:rPr>
          <w:b w:val="0"/>
        </w:rPr>
        <w:t xml:space="preserve"> </w:t>
      </w:r>
      <w:r w:rsidR="00CB2103" w:rsidRPr="003B1B5E">
        <w:rPr>
          <w:b w:val="0"/>
        </w:rPr>
        <w:t>n</w:t>
      </w:r>
      <w:r w:rsidR="00C15C21" w:rsidRPr="003B1B5E">
        <w:rPr>
          <w:b w:val="0"/>
        </w:rPr>
        <w:t>o Process</w:t>
      </w:r>
      <w:r w:rsidR="003D3CF4" w:rsidRPr="003B1B5E">
        <w:rPr>
          <w:b w:val="0"/>
        </w:rPr>
        <w:t>o Licitatório originário da Ata</w:t>
      </w:r>
      <w:r w:rsidR="007C38B5">
        <w:rPr>
          <w:b w:val="0"/>
        </w:rPr>
        <w:t>.</w:t>
      </w:r>
    </w:p>
    <w:p w:rsidR="007D1D75" w:rsidRPr="003B1B5E" w:rsidRDefault="00F15742" w:rsidP="00327D05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B1B5E">
        <w:t>Ordenador de</w:t>
      </w:r>
      <w:r w:rsidR="007D1D75" w:rsidRPr="003B1B5E">
        <w:t xml:space="preserve"> </w:t>
      </w:r>
      <w:r w:rsidR="00CC554B" w:rsidRPr="003B1B5E">
        <w:t xml:space="preserve">Despesas/Autoridade Competente </w:t>
      </w:r>
      <w:r w:rsidR="009929E1" w:rsidRPr="003B1B5E">
        <w:t>–</w:t>
      </w:r>
      <w:r w:rsidR="007D1D75" w:rsidRPr="003B1B5E">
        <w:t xml:space="preserve"> </w:t>
      </w:r>
      <w:r w:rsidRPr="003B1B5E">
        <w:rPr>
          <w:b w:val="0"/>
        </w:rPr>
        <w:t xml:space="preserve">A quem compete autorizar a realização dos procedimentos com vistas à </w:t>
      </w:r>
      <w:r w:rsidR="00DB51F7" w:rsidRPr="003B1B5E">
        <w:rPr>
          <w:b w:val="0"/>
        </w:rPr>
        <w:t>revisão</w:t>
      </w:r>
      <w:r w:rsidRPr="003B1B5E">
        <w:rPr>
          <w:b w:val="0"/>
        </w:rPr>
        <w:t>, bem como</w:t>
      </w:r>
      <w:r w:rsidR="00DB51F7" w:rsidRPr="003B1B5E">
        <w:rPr>
          <w:b w:val="0"/>
        </w:rPr>
        <w:t xml:space="preserve"> decidir</w:t>
      </w:r>
      <w:r w:rsidR="007C38B5">
        <w:rPr>
          <w:b w:val="0"/>
        </w:rPr>
        <w:t xml:space="preserve"> a respeito.</w:t>
      </w:r>
    </w:p>
    <w:p w:rsidR="00193D1C" w:rsidRDefault="00193D1C" w:rsidP="00327D05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193D1C">
        <w:t>Gestor</w:t>
      </w:r>
      <w:r w:rsidR="000924A3">
        <w:t>/Comissão Gestora</w:t>
      </w:r>
      <w:r w:rsidRPr="00193D1C">
        <w:t xml:space="preserve"> </w:t>
      </w:r>
      <w:r w:rsidR="00640EF6">
        <w:t>da Ata de Registro de Preços</w:t>
      </w:r>
      <w:r w:rsidRPr="00193D1C">
        <w:t xml:space="preserve"> –</w:t>
      </w:r>
      <w:r w:rsidRPr="00193D1C">
        <w:rPr>
          <w:b w:val="0"/>
        </w:rPr>
        <w:t xml:space="preserve"> </w:t>
      </w:r>
      <w:proofErr w:type="gramStart"/>
      <w:r>
        <w:rPr>
          <w:b w:val="0"/>
        </w:rPr>
        <w:t>R</w:t>
      </w:r>
      <w:r w:rsidRPr="00193D1C">
        <w:rPr>
          <w:b w:val="0"/>
        </w:rPr>
        <w:t>epresentante</w:t>
      </w:r>
      <w:r w:rsidR="000924A3">
        <w:rPr>
          <w:b w:val="0"/>
        </w:rPr>
        <w:t>(</w:t>
      </w:r>
      <w:proofErr w:type="gramEnd"/>
      <w:r w:rsidR="000924A3">
        <w:rPr>
          <w:b w:val="0"/>
        </w:rPr>
        <w:t>s)</w:t>
      </w:r>
      <w:r w:rsidRPr="00193D1C">
        <w:rPr>
          <w:b w:val="0"/>
        </w:rPr>
        <w:t xml:space="preserve"> da Administração, designad</w:t>
      </w:r>
      <w:r w:rsidR="00640EF6">
        <w:rPr>
          <w:b w:val="0"/>
        </w:rPr>
        <w:t>o</w:t>
      </w:r>
      <w:r w:rsidR="000924A3">
        <w:rPr>
          <w:b w:val="0"/>
        </w:rPr>
        <w:t>(s)</w:t>
      </w:r>
      <w:r w:rsidR="00640EF6">
        <w:rPr>
          <w:b w:val="0"/>
        </w:rPr>
        <w:t xml:space="preserve"> para o </w:t>
      </w:r>
      <w:r w:rsidR="00640EF6" w:rsidRPr="00640EF6">
        <w:rPr>
          <w:b w:val="0"/>
        </w:rPr>
        <w:t>gerenciamento, orientação e controle d</w:t>
      </w:r>
      <w:r w:rsidR="00640EF6">
        <w:rPr>
          <w:b w:val="0"/>
        </w:rPr>
        <w:t>a</w:t>
      </w:r>
      <w:r w:rsidR="00640EF6" w:rsidRPr="00640EF6">
        <w:rPr>
          <w:b w:val="0"/>
        </w:rPr>
        <w:t xml:space="preserve"> </w:t>
      </w:r>
      <w:r w:rsidR="00640EF6">
        <w:rPr>
          <w:b w:val="0"/>
        </w:rPr>
        <w:t xml:space="preserve">Ata </w:t>
      </w:r>
      <w:r w:rsidR="00640EF6" w:rsidRPr="00640EF6">
        <w:rPr>
          <w:b w:val="0"/>
        </w:rPr>
        <w:t xml:space="preserve">de </w:t>
      </w:r>
      <w:r w:rsidR="00640EF6">
        <w:rPr>
          <w:b w:val="0"/>
        </w:rPr>
        <w:t>R</w:t>
      </w:r>
      <w:r w:rsidR="00640EF6" w:rsidRPr="00640EF6">
        <w:rPr>
          <w:b w:val="0"/>
        </w:rPr>
        <w:t xml:space="preserve">egistro de </w:t>
      </w:r>
      <w:r w:rsidR="00640EF6">
        <w:rPr>
          <w:b w:val="0"/>
        </w:rPr>
        <w:t>P</w:t>
      </w:r>
      <w:r w:rsidR="00640EF6" w:rsidRPr="00640EF6">
        <w:rPr>
          <w:b w:val="0"/>
        </w:rPr>
        <w:t>reços</w:t>
      </w:r>
      <w:r w:rsidR="0095271F">
        <w:rPr>
          <w:b w:val="0"/>
        </w:rPr>
        <w:t>.</w:t>
      </w:r>
    </w:p>
    <w:p w:rsidR="00BA1E7A" w:rsidRPr="00BA1E7A" w:rsidRDefault="00BA1E7A" w:rsidP="00BA1E7A">
      <w:pPr>
        <w:pStyle w:val="N11"/>
        <w:numPr>
          <w:ilvl w:val="0"/>
          <w:numId w:val="0"/>
        </w:numPr>
      </w:pPr>
    </w:p>
    <w:p w:rsidR="00BB3F46" w:rsidRPr="00D500E0" w:rsidRDefault="00B855B6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bCs/>
          <w:szCs w:val="24"/>
        </w:rPr>
      </w:pPr>
      <w:r w:rsidRPr="00D500E0">
        <w:rPr>
          <w:rFonts w:cs="Arial"/>
          <w:bCs/>
          <w:szCs w:val="24"/>
        </w:rPr>
        <w:lastRenderedPageBreak/>
        <w:t>UNIDADES FUNCIONAIS ENVOLVIDAS</w:t>
      </w:r>
    </w:p>
    <w:p w:rsidR="009E71C8" w:rsidRPr="00D500E0" w:rsidRDefault="009E71C8" w:rsidP="00327D05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D500E0">
        <w:t>Fornecedor</w:t>
      </w:r>
      <w:r w:rsidR="00A1237C" w:rsidRPr="00D500E0">
        <w:t>.</w:t>
      </w:r>
    </w:p>
    <w:p w:rsidR="009E71C8" w:rsidRPr="00D500E0" w:rsidRDefault="009E71C8" w:rsidP="00327D05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D500E0">
        <w:t>Gestor/Comissão Gestora da ARP</w:t>
      </w:r>
      <w:r w:rsidR="00A1237C" w:rsidRPr="00D500E0">
        <w:t>.</w:t>
      </w:r>
    </w:p>
    <w:p w:rsidR="009E71C8" w:rsidRPr="00D500E0" w:rsidRDefault="009E71C8" w:rsidP="00327D05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D500E0">
        <w:t>Ordenador de Despesa</w:t>
      </w:r>
      <w:r w:rsidR="00A1237C" w:rsidRPr="00D500E0">
        <w:t>s.</w:t>
      </w:r>
    </w:p>
    <w:p w:rsidR="009F3AD3" w:rsidRPr="00D500E0" w:rsidRDefault="009F3AD3" w:rsidP="00327D05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D500E0">
        <w:t>PGE</w:t>
      </w:r>
      <w:r w:rsidR="0095271F" w:rsidRPr="00D500E0">
        <w:t>.</w:t>
      </w:r>
    </w:p>
    <w:p w:rsidR="00B6610C" w:rsidRPr="00D500E0" w:rsidRDefault="00B855B6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D500E0">
        <w:t>PROCEDIMENTOS</w:t>
      </w:r>
    </w:p>
    <w:p w:rsidR="001714C7" w:rsidRPr="00D500E0" w:rsidRDefault="00F34BA3" w:rsidP="00327D05">
      <w:pPr>
        <w:widowControl w:val="0"/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500E0">
        <w:t>O processo inicia-se com a identificação da necessidade de</w:t>
      </w:r>
      <w:r w:rsidR="001714C7" w:rsidRPr="00D500E0">
        <w:rPr>
          <w:rFonts w:cs="Arial"/>
          <w:szCs w:val="24"/>
        </w:rPr>
        <w:t xml:space="preserve"> revisão </w:t>
      </w:r>
      <w:r w:rsidR="003A0748" w:rsidRPr="00D500E0">
        <w:rPr>
          <w:rFonts w:cs="Arial"/>
          <w:szCs w:val="24"/>
        </w:rPr>
        <w:t>da Ata de Registro de Preços</w:t>
      </w:r>
      <w:r w:rsidR="001714C7" w:rsidRPr="00D500E0">
        <w:rPr>
          <w:rFonts w:cs="Arial"/>
          <w:szCs w:val="24"/>
        </w:rPr>
        <w:t xml:space="preserve"> por solicitação do </w:t>
      </w:r>
      <w:r w:rsidR="00867F60" w:rsidRPr="00D500E0">
        <w:rPr>
          <w:rFonts w:cs="Arial"/>
          <w:szCs w:val="24"/>
        </w:rPr>
        <w:t>Fornecedor</w:t>
      </w:r>
      <w:r w:rsidR="001714C7" w:rsidRPr="00D500E0">
        <w:rPr>
          <w:rFonts w:cs="Arial"/>
          <w:szCs w:val="24"/>
        </w:rPr>
        <w:t xml:space="preserve"> ou pela própria Administração</w:t>
      </w:r>
      <w:r w:rsidR="00A5471F" w:rsidRPr="00D500E0">
        <w:rPr>
          <w:rFonts w:cs="Arial"/>
          <w:szCs w:val="24"/>
        </w:rPr>
        <w:t>, de ofício.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 xml:space="preserve">T01 – </w:t>
      </w:r>
      <w:r w:rsidR="00F34BA3" w:rsidRPr="00D500E0">
        <w:rPr>
          <w:rFonts w:cs="Arial"/>
          <w:szCs w:val="24"/>
        </w:rPr>
        <w:t>J</w:t>
      </w:r>
      <w:r w:rsidR="00AB00D3" w:rsidRPr="00D500E0">
        <w:rPr>
          <w:rFonts w:cs="Arial"/>
          <w:szCs w:val="24"/>
        </w:rPr>
        <w:t xml:space="preserve">ustificar </w:t>
      </w:r>
      <w:r w:rsidRPr="00D500E0">
        <w:rPr>
          <w:rFonts w:cs="Arial"/>
          <w:szCs w:val="24"/>
        </w:rPr>
        <w:t>revisão</w:t>
      </w:r>
      <w:r w:rsidR="003B51BE" w:rsidRPr="00D500E0">
        <w:rPr>
          <w:rFonts w:cs="Arial"/>
          <w:szCs w:val="24"/>
        </w:rPr>
        <w:t xml:space="preserve"> de ofício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3B51BE" w:rsidRPr="00D500E0" w:rsidRDefault="001E7166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A Administração, de ofício, poderá inaugurar o procedimento de revisão comprovando a variação para menos dos encargos e obrigações da ata em razão de superveniência de fatos imprevisíveis, ou previsíveis, porém de consequência</w:t>
      </w:r>
      <w:r w:rsidR="00C94626" w:rsidRPr="00D500E0">
        <w:rPr>
          <w:rFonts w:cs="Arial"/>
          <w:szCs w:val="24"/>
        </w:rPr>
        <w:t>s</w:t>
      </w:r>
      <w:r w:rsidRPr="00D500E0">
        <w:rPr>
          <w:rFonts w:cs="Arial"/>
          <w:szCs w:val="24"/>
        </w:rPr>
        <w:t xml:space="preserve"> incalculáveis configurando álea econômica extraordinária e extracontratual (art. 35, caput, da Portaria SEGER/PGE/SECONT 049-R/2010 c/</w:t>
      </w:r>
      <w:proofErr w:type="gramStart"/>
      <w:r w:rsidRPr="00D500E0">
        <w:rPr>
          <w:rFonts w:cs="Arial"/>
          <w:szCs w:val="24"/>
        </w:rPr>
        <w:t>c</w:t>
      </w:r>
      <w:proofErr w:type="gramEnd"/>
      <w:r w:rsidRPr="00D500E0">
        <w:rPr>
          <w:rFonts w:cs="Arial"/>
          <w:szCs w:val="24"/>
        </w:rPr>
        <w:t xml:space="preserve"> o §5º do art. 21 do Decreto Estadual 1.790-R/2007).</w:t>
      </w:r>
    </w:p>
    <w:p w:rsidR="001E7166" w:rsidRPr="00D500E0" w:rsidRDefault="001E7166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3B51BE" w:rsidRPr="00D500E0" w:rsidRDefault="003B51BE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T02 – Justificar revisão</w:t>
      </w:r>
    </w:p>
    <w:p w:rsidR="003B51BE" w:rsidRPr="00D500E0" w:rsidRDefault="003B51BE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3B51BE" w:rsidRPr="00D500E0" w:rsidRDefault="003B51BE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O Fornecedor poderá inaugurar o procedimento de revisão comprovando a variação para mais ou para menos dos encargos e obrigações da ata em razão de superveniência de fatos imprevisíveis, ou previsíveis, porém de consequência</w:t>
      </w:r>
      <w:r w:rsidR="00C94626" w:rsidRPr="00D500E0">
        <w:rPr>
          <w:rFonts w:cs="Arial"/>
          <w:szCs w:val="24"/>
        </w:rPr>
        <w:t>s</w:t>
      </w:r>
      <w:r w:rsidRPr="00D500E0">
        <w:rPr>
          <w:rFonts w:cs="Arial"/>
          <w:szCs w:val="24"/>
        </w:rPr>
        <w:t xml:space="preserve"> incalculáveis configurando álea econômica extraordinária e extracontratual (art. 35, </w:t>
      </w:r>
      <w:r w:rsidRPr="00D500E0">
        <w:rPr>
          <w:rFonts w:cs="Arial"/>
          <w:i/>
          <w:szCs w:val="24"/>
        </w:rPr>
        <w:t>caput,</w:t>
      </w:r>
      <w:r w:rsidRPr="00D500E0">
        <w:rPr>
          <w:rFonts w:cs="Arial"/>
          <w:szCs w:val="24"/>
        </w:rPr>
        <w:t xml:space="preserve"> da Portaria SEGER/PGE/SECONT 049-R/2010 c/</w:t>
      </w:r>
      <w:proofErr w:type="gramStart"/>
      <w:r w:rsidRPr="00D500E0">
        <w:rPr>
          <w:rFonts w:cs="Arial"/>
          <w:szCs w:val="24"/>
        </w:rPr>
        <w:t>c</w:t>
      </w:r>
      <w:proofErr w:type="gramEnd"/>
      <w:r w:rsidRPr="00D500E0">
        <w:rPr>
          <w:rFonts w:cs="Arial"/>
          <w:szCs w:val="24"/>
        </w:rPr>
        <w:t xml:space="preserve"> o §5º do art. 21 do </w:t>
      </w:r>
      <w:r w:rsidRPr="00D500E0">
        <w:t>Decreto Estadual 1.790-R/2007</w:t>
      </w:r>
      <w:r w:rsidRPr="00D500E0">
        <w:rPr>
          <w:rFonts w:cs="Arial"/>
          <w:szCs w:val="24"/>
        </w:rPr>
        <w:t>).</w:t>
      </w:r>
    </w:p>
    <w:p w:rsidR="00846DD0" w:rsidRPr="00D500E0" w:rsidRDefault="00846DD0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783B36" w:rsidRPr="00D500E0" w:rsidRDefault="00A834A5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rPr>
          <w:rFonts w:cs="Arial"/>
          <w:szCs w:val="24"/>
        </w:rPr>
        <w:t>T03</w:t>
      </w:r>
      <w:r w:rsidR="001714C7" w:rsidRPr="00D500E0">
        <w:rPr>
          <w:rFonts w:cs="Arial"/>
          <w:szCs w:val="24"/>
        </w:rPr>
        <w:t xml:space="preserve"> – </w:t>
      </w:r>
      <w:r w:rsidR="00983480" w:rsidRPr="00D500E0">
        <w:t>Providenciar</w:t>
      </w:r>
      <w:r w:rsidR="00783B36" w:rsidRPr="00D500E0">
        <w:t xml:space="preserve"> autuação do processo</w:t>
      </w:r>
    </w:p>
    <w:p w:rsidR="00783B36" w:rsidRPr="00D500E0" w:rsidRDefault="00783B36" w:rsidP="00327D05">
      <w:pPr>
        <w:widowControl w:val="0"/>
        <w:autoSpaceDE w:val="0"/>
        <w:autoSpaceDN w:val="0"/>
        <w:adjustRightInd w:val="0"/>
        <w:spacing w:before="0" w:after="0"/>
      </w:pPr>
    </w:p>
    <w:p w:rsidR="005456F2" w:rsidRPr="00D500E0" w:rsidRDefault="00EA04C5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 xml:space="preserve">Após </w:t>
      </w:r>
      <w:r w:rsidR="00F62848" w:rsidRPr="00D500E0">
        <w:t>autuação d</w:t>
      </w:r>
      <w:r w:rsidR="001F1B66" w:rsidRPr="00D500E0">
        <w:t>o processo</w:t>
      </w:r>
      <w:r w:rsidRPr="00D500E0">
        <w:t>, solicitar a aprovação do Ordenador de Despesa</w:t>
      </w:r>
      <w:r w:rsidR="006E3792" w:rsidRPr="00D500E0">
        <w:t>s</w:t>
      </w:r>
      <w:r w:rsidR="00AB00D3" w:rsidRPr="00D500E0">
        <w:t xml:space="preserve">, </w:t>
      </w:r>
      <w:r w:rsidRPr="00D500E0">
        <w:t xml:space="preserve">caso a </w:t>
      </w:r>
      <w:r w:rsidR="00A834A5" w:rsidRPr="00D500E0">
        <w:t>revisão seja demandada</w:t>
      </w:r>
      <w:r w:rsidRPr="00D500E0">
        <w:t xml:space="preserve"> pela Administração</w:t>
      </w:r>
      <w:r w:rsidR="005769CD" w:rsidRPr="00D500E0">
        <w:t xml:space="preserve"> </w:t>
      </w:r>
      <w:r w:rsidRPr="00D500E0">
        <w:t>(T</w:t>
      </w:r>
      <w:r w:rsidR="00F62848" w:rsidRPr="00D500E0">
        <w:t>04</w:t>
      </w:r>
      <w:r w:rsidR="001F1B66" w:rsidRPr="00D500E0">
        <w:t xml:space="preserve">) ou notificar os </w:t>
      </w:r>
      <w:r w:rsidR="00A834A5" w:rsidRPr="00D500E0">
        <w:t>Órgãos participantes e adesos</w:t>
      </w:r>
      <w:r w:rsidR="001F1B66" w:rsidRPr="00D500E0">
        <w:t xml:space="preserve">, se </w:t>
      </w:r>
      <w:r w:rsidR="00A834A5" w:rsidRPr="00D500E0">
        <w:t>demandada</w:t>
      </w:r>
      <w:r w:rsidR="001F1B66" w:rsidRPr="00D500E0">
        <w:t xml:space="preserve"> pelo Fornecedor</w:t>
      </w:r>
      <w:r w:rsidR="00AB00D3" w:rsidRPr="00D500E0">
        <w:t xml:space="preserve"> </w:t>
      </w:r>
      <w:r w:rsidR="001F1B66" w:rsidRPr="00D500E0">
        <w:t>(T0</w:t>
      </w:r>
      <w:r w:rsidR="00F62848" w:rsidRPr="00D500E0">
        <w:t>7</w:t>
      </w:r>
      <w:r w:rsidR="001F1B66" w:rsidRPr="00D500E0">
        <w:t>).</w:t>
      </w:r>
    </w:p>
    <w:p w:rsidR="005456F2" w:rsidRPr="00D500E0" w:rsidRDefault="005456F2" w:rsidP="00327D05">
      <w:pPr>
        <w:widowControl w:val="0"/>
        <w:autoSpaceDE w:val="0"/>
        <w:autoSpaceDN w:val="0"/>
        <w:adjustRightInd w:val="0"/>
        <w:spacing w:before="0" w:after="0"/>
      </w:pPr>
    </w:p>
    <w:p w:rsidR="005456F2" w:rsidRPr="00D500E0" w:rsidRDefault="00AB00D3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>T0</w:t>
      </w:r>
      <w:r w:rsidR="007A3702" w:rsidRPr="00D500E0">
        <w:t>4</w:t>
      </w:r>
      <w:r w:rsidRPr="00D500E0">
        <w:t xml:space="preserve"> – Solicitar aprovação</w:t>
      </w:r>
    </w:p>
    <w:p w:rsidR="00AB00D3" w:rsidRPr="00D500E0" w:rsidRDefault="00AB00D3" w:rsidP="00327D05">
      <w:pPr>
        <w:widowControl w:val="0"/>
        <w:autoSpaceDE w:val="0"/>
        <w:autoSpaceDN w:val="0"/>
        <w:adjustRightInd w:val="0"/>
        <w:spacing w:before="0" w:after="0"/>
      </w:pPr>
    </w:p>
    <w:p w:rsidR="00AB00D3" w:rsidRPr="00D500E0" w:rsidRDefault="00AB00D3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>T0</w:t>
      </w:r>
      <w:r w:rsidR="007A3702" w:rsidRPr="00D500E0">
        <w:t>5</w:t>
      </w:r>
      <w:r w:rsidRPr="00D500E0">
        <w:t xml:space="preserve"> – Aprovar </w:t>
      </w:r>
      <w:r w:rsidR="0099456F" w:rsidRPr="00D500E0">
        <w:t>continuidade do processo</w:t>
      </w:r>
    </w:p>
    <w:p w:rsidR="005456F2" w:rsidRPr="00D500E0" w:rsidRDefault="005456F2" w:rsidP="00327D05">
      <w:pPr>
        <w:widowControl w:val="0"/>
        <w:autoSpaceDE w:val="0"/>
        <w:autoSpaceDN w:val="0"/>
        <w:adjustRightInd w:val="0"/>
        <w:spacing w:before="0" w:after="0"/>
      </w:pPr>
    </w:p>
    <w:p w:rsidR="0099456F" w:rsidRPr="00D500E0" w:rsidRDefault="0099456F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 xml:space="preserve">Se não houver aprovação, o Ordenador de Despesas </w:t>
      </w:r>
      <w:r w:rsidR="007703C1" w:rsidRPr="00D500E0">
        <w:t>determina o encerramento</w:t>
      </w:r>
      <w:r w:rsidRPr="00D500E0">
        <w:t xml:space="preserve"> </w:t>
      </w:r>
      <w:r w:rsidR="007703C1" w:rsidRPr="00D500E0">
        <w:t>d</w:t>
      </w:r>
      <w:r w:rsidRPr="00D500E0">
        <w:t>o procedimento</w:t>
      </w:r>
      <w:r w:rsidR="001B231B" w:rsidRPr="00D500E0">
        <w:t xml:space="preserve"> e encaminha o processo para ciência</w:t>
      </w:r>
      <w:r w:rsidR="00F6655F" w:rsidRPr="00D500E0">
        <w:t xml:space="preserve"> do Gestor/Comissão Gestora (T0</w:t>
      </w:r>
      <w:r w:rsidR="00353217" w:rsidRPr="00D500E0">
        <w:t>6</w:t>
      </w:r>
      <w:r w:rsidR="001B231B" w:rsidRPr="00D500E0">
        <w:t>)</w:t>
      </w:r>
      <w:r w:rsidRPr="00D500E0">
        <w:t xml:space="preserve">. Havendo aprovação, o processo segue para </w:t>
      </w:r>
      <w:r w:rsidR="00A11CB4" w:rsidRPr="00D500E0">
        <w:t>notificação d</w:t>
      </w:r>
      <w:r w:rsidRPr="00D500E0">
        <w:t xml:space="preserve">os </w:t>
      </w:r>
      <w:r w:rsidR="00F6655F" w:rsidRPr="00D500E0">
        <w:t>Órgãos participantes e adesos</w:t>
      </w:r>
      <w:r w:rsidRPr="00D500E0">
        <w:t xml:space="preserve"> (T0</w:t>
      </w:r>
      <w:r w:rsidR="00353217" w:rsidRPr="00D500E0">
        <w:t>7</w:t>
      </w:r>
      <w:r w:rsidRPr="00D500E0">
        <w:t>).</w:t>
      </w:r>
    </w:p>
    <w:p w:rsidR="0099456F" w:rsidRPr="00D500E0" w:rsidRDefault="0099456F" w:rsidP="00327D05">
      <w:pPr>
        <w:widowControl w:val="0"/>
        <w:autoSpaceDE w:val="0"/>
        <w:autoSpaceDN w:val="0"/>
        <w:adjustRightInd w:val="0"/>
        <w:spacing w:before="0" w:after="0"/>
      </w:pPr>
    </w:p>
    <w:p w:rsidR="00670921" w:rsidRPr="00D500E0" w:rsidRDefault="00670921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>T0</w:t>
      </w:r>
      <w:r w:rsidR="00FF038F" w:rsidRPr="00D500E0">
        <w:t>6</w:t>
      </w:r>
      <w:r w:rsidRPr="00D500E0">
        <w:t xml:space="preserve"> – Tomar ciência</w:t>
      </w:r>
    </w:p>
    <w:p w:rsidR="00FD1BB6" w:rsidRPr="00D500E0" w:rsidRDefault="00FD1BB6" w:rsidP="00327D05">
      <w:pPr>
        <w:widowControl w:val="0"/>
        <w:autoSpaceDE w:val="0"/>
        <w:autoSpaceDN w:val="0"/>
        <w:adjustRightInd w:val="0"/>
        <w:spacing w:before="0" w:after="0"/>
      </w:pPr>
    </w:p>
    <w:p w:rsidR="001714C7" w:rsidRPr="00D500E0" w:rsidRDefault="00783B36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T0</w:t>
      </w:r>
      <w:r w:rsidR="00FF038F" w:rsidRPr="00D500E0">
        <w:rPr>
          <w:rFonts w:cs="Arial"/>
          <w:szCs w:val="24"/>
        </w:rPr>
        <w:t>7</w:t>
      </w:r>
      <w:r w:rsidRPr="00D500E0">
        <w:rPr>
          <w:rFonts w:cs="Arial"/>
          <w:szCs w:val="24"/>
        </w:rPr>
        <w:t xml:space="preserve"> – </w:t>
      </w:r>
      <w:r w:rsidR="0099456F" w:rsidRPr="00D500E0">
        <w:rPr>
          <w:rFonts w:cs="Arial"/>
          <w:szCs w:val="24"/>
        </w:rPr>
        <w:t>Notificar</w:t>
      </w:r>
      <w:r w:rsidR="001714C7" w:rsidRPr="00D500E0">
        <w:rPr>
          <w:rFonts w:cs="Arial"/>
          <w:szCs w:val="24"/>
        </w:rPr>
        <w:t xml:space="preserve"> </w:t>
      </w:r>
      <w:r w:rsidR="00BF20C1" w:rsidRPr="00D500E0">
        <w:rPr>
          <w:rFonts w:cs="Arial"/>
          <w:szCs w:val="24"/>
        </w:rPr>
        <w:t>Órgãos</w:t>
      </w:r>
    </w:p>
    <w:p w:rsidR="001714C7" w:rsidRPr="00514F1A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355620" w:rsidRPr="00514F1A" w:rsidRDefault="0071747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514F1A">
        <w:rPr>
          <w:rFonts w:cs="Arial"/>
          <w:szCs w:val="24"/>
        </w:rPr>
        <w:t>N</w:t>
      </w:r>
      <w:r w:rsidR="001714C7" w:rsidRPr="00514F1A">
        <w:rPr>
          <w:rFonts w:cs="Arial"/>
          <w:szCs w:val="24"/>
        </w:rPr>
        <w:t>otificar o</w:t>
      </w:r>
      <w:r w:rsidR="00490BD3" w:rsidRPr="00514F1A">
        <w:rPr>
          <w:rFonts w:cs="Arial"/>
          <w:szCs w:val="24"/>
        </w:rPr>
        <w:t>s órgãos participantes e adesos</w:t>
      </w:r>
      <w:r w:rsidR="00EF54A7" w:rsidRPr="00514F1A">
        <w:rPr>
          <w:rFonts w:cs="Arial"/>
          <w:szCs w:val="24"/>
        </w:rPr>
        <w:t>,</w:t>
      </w:r>
      <w:r w:rsidRPr="00514F1A">
        <w:rPr>
          <w:rFonts w:cs="Arial"/>
          <w:szCs w:val="24"/>
        </w:rPr>
        <w:t xml:space="preserve"> </w:t>
      </w:r>
      <w:r w:rsidR="00EF54A7" w:rsidRPr="00514F1A">
        <w:rPr>
          <w:rFonts w:cs="Arial"/>
          <w:szCs w:val="24"/>
        </w:rPr>
        <w:t xml:space="preserve">para ciência </w:t>
      </w:r>
      <w:r w:rsidRPr="00514F1A">
        <w:rPr>
          <w:rFonts w:cs="Arial"/>
          <w:szCs w:val="24"/>
        </w:rPr>
        <w:t xml:space="preserve">acerca da existência do </w:t>
      </w:r>
      <w:r w:rsidR="00EF54A7" w:rsidRPr="00514F1A">
        <w:rPr>
          <w:rFonts w:cs="Arial"/>
          <w:szCs w:val="24"/>
        </w:rPr>
        <w:lastRenderedPageBreak/>
        <w:t>procedimento</w:t>
      </w:r>
      <w:r w:rsidR="00355620" w:rsidRPr="00514F1A">
        <w:rPr>
          <w:rFonts w:cs="Arial"/>
          <w:szCs w:val="24"/>
        </w:rPr>
        <w:t>.</w:t>
      </w:r>
    </w:p>
    <w:p w:rsidR="005A371F" w:rsidRPr="00D500E0" w:rsidRDefault="005A371F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5835EC" w:rsidRPr="00D500E0" w:rsidRDefault="007A36E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5835EC" w:rsidRPr="00D500E0">
        <w:rPr>
          <w:rFonts w:cs="Arial"/>
          <w:szCs w:val="24"/>
        </w:rPr>
        <w:t>0</w:t>
      </w:r>
      <w:r w:rsidRPr="00D500E0">
        <w:rPr>
          <w:rFonts w:cs="Arial"/>
          <w:szCs w:val="24"/>
        </w:rPr>
        <w:t>8</w:t>
      </w:r>
      <w:r w:rsidR="005835EC" w:rsidRPr="00D500E0">
        <w:rPr>
          <w:rFonts w:cs="Arial"/>
          <w:szCs w:val="24"/>
        </w:rPr>
        <w:t xml:space="preserve"> – Notificar Fornecedor</w:t>
      </w:r>
    </w:p>
    <w:p w:rsidR="005835EC" w:rsidRPr="00D500E0" w:rsidRDefault="005835EC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5835EC" w:rsidRPr="00D500E0" w:rsidRDefault="005835EC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Notificar o Fornecedor para apresentar defesa, apenas se o pedido não houver sido por ele iniciado.</w:t>
      </w:r>
    </w:p>
    <w:p w:rsidR="005835EC" w:rsidRPr="00D500E0" w:rsidRDefault="005835EC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873C16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7A36E7" w:rsidRPr="00D500E0">
        <w:rPr>
          <w:rFonts w:cs="Arial"/>
          <w:szCs w:val="24"/>
        </w:rPr>
        <w:t>09</w:t>
      </w:r>
      <w:r w:rsidR="001714C7" w:rsidRPr="00D500E0">
        <w:rPr>
          <w:rFonts w:cs="Arial"/>
          <w:szCs w:val="24"/>
        </w:rPr>
        <w:t xml:space="preserve"> – Apresentar defesa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355620" w:rsidRPr="00D500E0">
        <w:rPr>
          <w:rFonts w:cs="Arial"/>
          <w:szCs w:val="24"/>
        </w:rPr>
        <w:t>1</w:t>
      </w:r>
      <w:r w:rsidR="007A36E7" w:rsidRPr="00D500E0">
        <w:rPr>
          <w:rFonts w:cs="Arial"/>
          <w:szCs w:val="24"/>
        </w:rPr>
        <w:t>0</w:t>
      </w:r>
      <w:r w:rsidRPr="00D500E0">
        <w:rPr>
          <w:rFonts w:cs="Arial"/>
          <w:szCs w:val="24"/>
        </w:rPr>
        <w:t xml:space="preserve"> – Analisar demanda/promover ajuste</w:t>
      </w:r>
      <w:r w:rsidR="009106EF" w:rsidRPr="00D500E0">
        <w:rPr>
          <w:rFonts w:cs="Arial"/>
          <w:szCs w:val="24"/>
        </w:rPr>
        <w:t>s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 xml:space="preserve">Analisar a solicitação de </w:t>
      </w:r>
      <w:r w:rsidR="006A1541" w:rsidRPr="00D500E0">
        <w:rPr>
          <w:rFonts w:cs="Arial"/>
          <w:szCs w:val="24"/>
        </w:rPr>
        <w:t>r</w:t>
      </w:r>
      <w:r w:rsidRPr="00D500E0">
        <w:rPr>
          <w:rFonts w:cs="Arial"/>
          <w:szCs w:val="24"/>
        </w:rPr>
        <w:t xml:space="preserve">evisão pelo </w:t>
      </w:r>
      <w:r w:rsidR="00867F60" w:rsidRPr="00D500E0">
        <w:rPr>
          <w:rFonts w:cs="Arial"/>
          <w:szCs w:val="24"/>
        </w:rPr>
        <w:t>Fornecedor</w:t>
      </w:r>
      <w:r w:rsidRPr="00D500E0">
        <w:rPr>
          <w:rFonts w:cs="Arial"/>
          <w:szCs w:val="24"/>
        </w:rPr>
        <w:t xml:space="preserve"> ou sua defesa, quando o procedimento for inaugurado pela Administração.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6B688B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Promover eventual ajuste/correção que seja necessário, quando o procedimento for inaugurado pel</w:t>
      </w:r>
      <w:r w:rsidR="00873C16" w:rsidRPr="00D500E0">
        <w:rPr>
          <w:rFonts w:cs="Arial"/>
          <w:szCs w:val="24"/>
        </w:rPr>
        <w:t>a</w:t>
      </w:r>
      <w:r w:rsidRPr="00D500E0">
        <w:rPr>
          <w:rFonts w:cs="Arial"/>
          <w:szCs w:val="24"/>
        </w:rPr>
        <w:t xml:space="preserve"> </w:t>
      </w:r>
      <w:r w:rsidR="00267220" w:rsidRPr="00D500E0">
        <w:rPr>
          <w:rFonts w:cs="Arial"/>
          <w:szCs w:val="24"/>
        </w:rPr>
        <w:t>Administração</w:t>
      </w:r>
      <w:r w:rsidRPr="00D500E0">
        <w:rPr>
          <w:rFonts w:cs="Arial"/>
          <w:szCs w:val="24"/>
        </w:rPr>
        <w:t>.</w:t>
      </w:r>
      <w:r w:rsidR="006B688B" w:rsidRPr="00D500E0">
        <w:rPr>
          <w:rFonts w:cs="Arial"/>
          <w:szCs w:val="24"/>
        </w:rPr>
        <w:t xml:space="preserve"> Caso necessite de ajustes pelo Fornecedor, </w:t>
      </w:r>
      <w:r w:rsidR="009106EF" w:rsidRPr="00D500E0">
        <w:rPr>
          <w:rFonts w:cs="Arial"/>
          <w:szCs w:val="24"/>
        </w:rPr>
        <w:t>seguir</w:t>
      </w:r>
      <w:r w:rsidR="006B688B" w:rsidRPr="00D500E0">
        <w:rPr>
          <w:rFonts w:cs="Arial"/>
          <w:szCs w:val="24"/>
        </w:rPr>
        <w:t xml:space="preserve"> </w:t>
      </w:r>
      <w:r w:rsidR="00873C16" w:rsidRPr="00D500E0">
        <w:rPr>
          <w:rFonts w:cs="Arial"/>
          <w:szCs w:val="24"/>
        </w:rPr>
        <w:t>para T1</w:t>
      </w:r>
      <w:r w:rsidR="0054420B" w:rsidRPr="00D500E0">
        <w:rPr>
          <w:rFonts w:cs="Arial"/>
          <w:szCs w:val="24"/>
        </w:rPr>
        <w:t>1</w:t>
      </w:r>
      <w:r w:rsidR="006B688B" w:rsidRPr="00D500E0">
        <w:rPr>
          <w:rFonts w:cs="Arial"/>
          <w:szCs w:val="24"/>
        </w:rPr>
        <w:t xml:space="preserve">. </w:t>
      </w:r>
    </w:p>
    <w:p w:rsidR="00EC5FC1" w:rsidRPr="00D500E0" w:rsidRDefault="00EC5FC1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EC5FC1" w:rsidRPr="00D500E0" w:rsidRDefault="009106EF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rPr>
          <w:rFonts w:cs="Arial"/>
          <w:szCs w:val="24"/>
        </w:rPr>
        <w:t>Sendo recomendada a revisão</w:t>
      </w:r>
      <w:r w:rsidR="00EC5FC1" w:rsidRPr="00D500E0">
        <w:rPr>
          <w:rFonts w:cs="Arial"/>
          <w:szCs w:val="24"/>
        </w:rPr>
        <w:t>, o Gestor/Comissão Gestora elabora a minuta do Termo Aditivo (T1</w:t>
      </w:r>
      <w:r w:rsidR="0054420B" w:rsidRPr="00D500E0">
        <w:rPr>
          <w:rFonts w:cs="Arial"/>
          <w:szCs w:val="24"/>
        </w:rPr>
        <w:t>2</w:t>
      </w:r>
      <w:r w:rsidR="00EC5FC1" w:rsidRPr="00D500E0">
        <w:rPr>
          <w:rFonts w:cs="Arial"/>
          <w:szCs w:val="24"/>
        </w:rPr>
        <w:t xml:space="preserve">) e encaminha para o Ordenador de Despesa decidir sobre a </w:t>
      </w:r>
      <w:r w:rsidRPr="00D500E0">
        <w:rPr>
          <w:rFonts w:cs="Arial"/>
          <w:szCs w:val="24"/>
        </w:rPr>
        <w:t>r</w:t>
      </w:r>
      <w:r w:rsidR="00EC5FC1" w:rsidRPr="00D500E0">
        <w:rPr>
          <w:rFonts w:cs="Arial"/>
          <w:szCs w:val="24"/>
        </w:rPr>
        <w:t>evisão</w:t>
      </w:r>
      <w:r w:rsidR="005C00DB" w:rsidRPr="00D500E0">
        <w:rPr>
          <w:rFonts w:cs="Arial"/>
          <w:szCs w:val="24"/>
        </w:rPr>
        <w:t xml:space="preserve"> (T1</w:t>
      </w:r>
      <w:r w:rsidR="0054420B" w:rsidRPr="00D500E0">
        <w:rPr>
          <w:rFonts w:cs="Arial"/>
          <w:szCs w:val="24"/>
        </w:rPr>
        <w:t>3</w:t>
      </w:r>
      <w:r w:rsidR="005C00DB" w:rsidRPr="00D500E0">
        <w:rPr>
          <w:rFonts w:cs="Arial"/>
          <w:szCs w:val="24"/>
        </w:rPr>
        <w:t>)</w:t>
      </w:r>
      <w:r w:rsidR="00EC5FC1" w:rsidRPr="00D500E0">
        <w:rPr>
          <w:rFonts w:cs="Arial"/>
          <w:szCs w:val="24"/>
        </w:rPr>
        <w:t>.</w:t>
      </w:r>
      <w:r w:rsidR="005C00DB" w:rsidRPr="00D500E0">
        <w:rPr>
          <w:rFonts w:cs="Arial"/>
          <w:szCs w:val="24"/>
        </w:rPr>
        <w:t xml:space="preserve"> </w:t>
      </w:r>
      <w:r w:rsidRPr="00D500E0">
        <w:rPr>
          <w:rFonts w:cs="Arial"/>
          <w:szCs w:val="24"/>
        </w:rPr>
        <w:t>Caso contrário</w:t>
      </w:r>
      <w:r w:rsidR="005C00DB" w:rsidRPr="00D500E0">
        <w:rPr>
          <w:rFonts w:cs="Arial"/>
          <w:szCs w:val="24"/>
        </w:rPr>
        <w:t xml:space="preserve">, o processo segue </w:t>
      </w:r>
      <w:r w:rsidRPr="00D500E0">
        <w:rPr>
          <w:rFonts w:cs="Arial"/>
          <w:szCs w:val="24"/>
        </w:rPr>
        <w:t xml:space="preserve">diretamente </w:t>
      </w:r>
      <w:r w:rsidR="005C00DB" w:rsidRPr="00D500E0">
        <w:rPr>
          <w:rFonts w:cs="Arial"/>
          <w:szCs w:val="24"/>
        </w:rPr>
        <w:t xml:space="preserve">para </w:t>
      </w:r>
      <w:r w:rsidRPr="00D500E0">
        <w:rPr>
          <w:rFonts w:cs="Arial"/>
          <w:szCs w:val="24"/>
        </w:rPr>
        <w:t xml:space="preserve">decisão </w:t>
      </w:r>
      <w:r w:rsidR="00330F54" w:rsidRPr="00D500E0">
        <w:rPr>
          <w:rFonts w:cs="Arial"/>
          <w:szCs w:val="24"/>
        </w:rPr>
        <w:t xml:space="preserve">sobre a </w:t>
      </w:r>
      <w:r w:rsidRPr="00D500E0">
        <w:rPr>
          <w:rFonts w:cs="Arial"/>
          <w:szCs w:val="24"/>
        </w:rPr>
        <w:t>r</w:t>
      </w:r>
      <w:r w:rsidR="0054420B" w:rsidRPr="00D500E0">
        <w:rPr>
          <w:rFonts w:cs="Arial"/>
          <w:szCs w:val="24"/>
        </w:rPr>
        <w:t>evisão (T13</w:t>
      </w:r>
      <w:r w:rsidR="00330F54" w:rsidRPr="00D500E0">
        <w:rPr>
          <w:rFonts w:cs="Arial"/>
          <w:szCs w:val="24"/>
        </w:rPr>
        <w:t>).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EC5FC1" w:rsidRPr="00D500E0">
        <w:rPr>
          <w:rFonts w:cs="Arial"/>
          <w:szCs w:val="24"/>
        </w:rPr>
        <w:t>1</w:t>
      </w:r>
      <w:r w:rsidR="00730266" w:rsidRPr="00D500E0">
        <w:rPr>
          <w:rFonts w:cs="Arial"/>
          <w:szCs w:val="24"/>
        </w:rPr>
        <w:t>1</w:t>
      </w:r>
      <w:r w:rsidRPr="00D500E0">
        <w:rPr>
          <w:rFonts w:cs="Arial"/>
          <w:szCs w:val="24"/>
        </w:rPr>
        <w:t xml:space="preserve"> – Promover ajuste</w:t>
      </w:r>
      <w:r w:rsidR="0078240D" w:rsidRPr="00D500E0">
        <w:rPr>
          <w:rFonts w:cs="Arial"/>
          <w:szCs w:val="24"/>
        </w:rPr>
        <w:t>s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 xml:space="preserve">Ao </w:t>
      </w:r>
      <w:r w:rsidR="00867F60" w:rsidRPr="00D500E0">
        <w:rPr>
          <w:rFonts w:cs="Arial"/>
          <w:szCs w:val="24"/>
        </w:rPr>
        <w:t>Fornecedor</w:t>
      </w:r>
      <w:r w:rsidRPr="00D500E0">
        <w:rPr>
          <w:rFonts w:cs="Arial"/>
          <w:szCs w:val="24"/>
        </w:rPr>
        <w:t xml:space="preserve"> caberá realizar os ajustes eventualmente apontados após a análise da demanda (T</w:t>
      </w:r>
      <w:r w:rsidR="00EC5FC1" w:rsidRPr="00D500E0">
        <w:rPr>
          <w:rFonts w:cs="Arial"/>
          <w:szCs w:val="24"/>
        </w:rPr>
        <w:t>1</w:t>
      </w:r>
      <w:r w:rsidR="00730266" w:rsidRPr="00D500E0">
        <w:rPr>
          <w:rFonts w:cs="Arial"/>
          <w:szCs w:val="24"/>
        </w:rPr>
        <w:t>0</w:t>
      </w:r>
      <w:r w:rsidRPr="00D500E0">
        <w:rPr>
          <w:rFonts w:cs="Arial"/>
          <w:szCs w:val="24"/>
        </w:rPr>
        <w:t>).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EC5FC1" w:rsidRPr="00D500E0">
        <w:rPr>
          <w:rFonts w:cs="Arial"/>
          <w:szCs w:val="24"/>
        </w:rPr>
        <w:t>1</w:t>
      </w:r>
      <w:r w:rsidR="0006601C" w:rsidRPr="00D500E0">
        <w:rPr>
          <w:rFonts w:cs="Arial"/>
          <w:szCs w:val="24"/>
        </w:rPr>
        <w:t>2</w:t>
      </w:r>
      <w:r w:rsidRPr="00D500E0">
        <w:rPr>
          <w:rFonts w:cs="Arial"/>
          <w:szCs w:val="24"/>
        </w:rPr>
        <w:t xml:space="preserve"> – Elaborar minuta d</w:t>
      </w:r>
      <w:r w:rsidR="00C04C28" w:rsidRPr="00D500E0">
        <w:rPr>
          <w:rFonts w:cs="Arial"/>
          <w:szCs w:val="24"/>
        </w:rPr>
        <w:t>o</w:t>
      </w:r>
      <w:r w:rsidRPr="00D500E0">
        <w:rPr>
          <w:rFonts w:cs="Arial"/>
          <w:szCs w:val="24"/>
        </w:rPr>
        <w:t xml:space="preserve"> Termo </w:t>
      </w:r>
      <w:r w:rsidR="00294341" w:rsidRPr="00D500E0">
        <w:rPr>
          <w:rFonts w:cs="Arial"/>
          <w:szCs w:val="24"/>
        </w:rPr>
        <w:t>A</w:t>
      </w:r>
      <w:r w:rsidRPr="00D500E0">
        <w:rPr>
          <w:rFonts w:cs="Arial"/>
          <w:szCs w:val="24"/>
        </w:rPr>
        <w:t>ditivo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7A0E1F" w:rsidRPr="00D500E0">
        <w:rPr>
          <w:rFonts w:cs="Arial"/>
          <w:szCs w:val="24"/>
        </w:rPr>
        <w:t>1</w:t>
      </w:r>
      <w:r w:rsidR="0006601C" w:rsidRPr="00D500E0">
        <w:rPr>
          <w:rFonts w:cs="Arial"/>
          <w:szCs w:val="24"/>
        </w:rPr>
        <w:t>3</w:t>
      </w:r>
      <w:r w:rsidRPr="00D500E0">
        <w:rPr>
          <w:rFonts w:cs="Arial"/>
          <w:szCs w:val="24"/>
        </w:rPr>
        <w:t xml:space="preserve"> – </w:t>
      </w:r>
      <w:r w:rsidR="006B688B" w:rsidRPr="00D500E0">
        <w:rPr>
          <w:rFonts w:cs="Arial"/>
          <w:szCs w:val="24"/>
        </w:rPr>
        <w:t>Decidir sobre a revisão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4E7173" w:rsidRPr="00D500E0" w:rsidRDefault="00261F49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 xml:space="preserve">Se não houver </w:t>
      </w:r>
      <w:r w:rsidR="00294341" w:rsidRPr="00D500E0">
        <w:t>autorização</w:t>
      </w:r>
      <w:r w:rsidRPr="00D500E0">
        <w:t xml:space="preserve">, o Ordenador de Despesas determina o encerramento do procedimento e encaminha o processo para o Gestor/Comissão Gestora notificar os interessados </w:t>
      </w:r>
      <w:r w:rsidR="00294341" w:rsidRPr="00D500E0">
        <w:t>quanto à</w:t>
      </w:r>
      <w:r w:rsidRPr="00D500E0">
        <w:t xml:space="preserve"> decisão (T1</w:t>
      </w:r>
      <w:r w:rsidR="00CD4218" w:rsidRPr="00D500E0">
        <w:t>4</w:t>
      </w:r>
      <w:r w:rsidRPr="00D500E0">
        <w:t>).</w:t>
      </w:r>
    </w:p>
    <w:p w:rsidR="004E7173" w:rsidRPr="00D500E0" w:rsidRDefault="004E7173" w:rsidP="00327D05">
      <w:pPr>
        <w:widowControl w:val="0"/>
        <w:autoSpaceDE w:val="0"/>
        <w:autoSpaceDN w:val="0"/>
        <w:adjustRightInd w:val="0"/>
        <w:spacing w:before="0" w:after="0"/>
      </w:pPr>
    </w:p>
    <w:p w:rsidR="00261F49" w:rsidRPr="00D500E0" w:rsidRDefault="00261F49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t xml:space="preserve">Havendo aprovação, </w:t>
      </w:r>
      <w:r w:rsidR="004E7173" w:rsidRPr="00D500E0">
        <w:t>o Ordenador de Despesas encaminha para elaboração da minuta de Termo Aditivo (T1</w:t>
      </w:r>
      <w:r w:rsidR="00CB5C78" w:rsidRPr="00D500E0">
        <w:t>2</w:t>
      </w:r>
      <w:r w:rsidR="004E7173" w:rsidRPr="00D500E0">
        <w:t>) ou</w:t>
      </w:r>
      <w:r w:rsidRPr="00D500E0">
        <w:t xml:space="preserve"> para análise jurídica (T</w:t>
      </w:r>
      <w:r w:rsidR="007A0E1F" w:rsidRPr="00D500E0">
        <w:t>1</w:t>
      </w:r>
      <w:r w:rsidR="00CB5C78" w:rsidRPr="00D500E0">
        <w:t>5</w:t>
      </w:r>
      <w:r w:rsidRPr="00D500E0">
        <w:t>)</w:t>
      </w:r>
      <w:r w:rsidR="00C33E19" w:rsidRPr="00D500E0">
        <w:t>, se esta já con</w:t>
      </w:r>
      <w:r w:rsidR="00AB69D6" w:rsidRPr="00D500E0">
        <w:t>s</w:t>
      </w:r>
      <w:r w:rsidR="00C33E19" w:rsidRPr="00D500E0">
        <w:t>tar no processo</w:t>
      </w:r>
      <w:r w:rsidRPr="00D500E0">
        <w:t>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261F49" w:rsidRPr="00D500E0" w:rsidRDefault="00261F4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T1</w:t>
      </w:r>
      <w:r w:rsidR="00CB5C78" w:rsidRPr="00D500E0">
        <w:rPr>
          <w:rFonts w:cs="Arial"/>
          <w:szCs w:val="24"/>
        </w:rPr>
        <w:t>4</w:t>
      </w:r>
      <w:r w:rsidRPr="00D500E0">
        <w:rPr>
          <w:rFonts w:cs="Arial"/>
          <w:szCs w:val="24"/>
        </w:rPr>
        <w:t xml:space="preserve"> – Notificar </w:t>
      </w:r>
      <w:r w:rsidR="00D70395" w:rsidRPr="00D500E0">
        <w:rPr>
          <w:rFonts w:cs="Arial"/>
          <w:szCs w:val="24"/>
        </w:rPr>
        <w:t xml:space="preserve">os </w:t>
      </w:r>
      <w:r w:rsidRPr="00D500E0">
        <w:rPr>
          <w:rFonts w:cs="Arial"/>
          <w:szCs w:val="24"/>
        </w:rPr>
        <w:t>interessados</w:t>
      </w:r>
    </w:p>
    <w:p w:rsidR="00261F49" w:rsidRPr="00D500E0" w:rsidRDefault="00261F4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261F49" w:rsidRPr="00D500E0" w:rsidRDefault="00261F4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 xml:space="preserve">Caso a </w:t>
      </w:r>
      <w:r w:rsidR="00E068D1" w:rsidRPr="00D500E0">
        <w:rPr>
          <w:rFonts w:cs="Arial"/>
          <w:szCs w:val="24"/>
        </w:rPr>
        <w:t>r</w:t>
      </w:r>
      <w:r w:rsidRPr="00D500E0">
        <w:rPr>
          <w:rFonts w:cs="Arial"/>
          <w:szCs w:val="24"/>
        </w:rPr>
        <w:t xml:space="preserve">evisão não seja autorizada, notificar </w:t>
      </w:r>
      <w:r w:rsidR="00E068D1" w:rsidRPr="00D500E0">
        <w:rPr>
          <w:rFonts w:cs="Arial"/>
          <w:szCs w:val="24"/>
        </w:rPr>
        <w:t xml:space="preserve">o Fornecedor e </w:t>
      </w:r>
      <w:r w:rsidRPr="00D500E0">
        <w:rPr>
          <w:rFonts w:cs="Arial"/>
          <w:szCs w:val="24"/>
        </w:rPr>
        <w:t xml:space="preserve">os órgãos participantes e adesos </w:t>
      </w:r>
      <w:r w:rsidR="00E068D1" w:rsidRPr="00D500E0">
        <w:rPr>
          <w:rFonts w:cs="Arial"/>
          <w:szCs w:val="24"/>
        </w:rPr>
        <w:t>quanto à</w:t>
      </w:r>
      <w:r w:rsidRPr="00D500E0">
        <w:rPr>
          <w:rFonts w:cs="Arial"/>
          <w:szCs w:val="24"/>
        </w:rPr>
        <w:t xml:space="preserve"> decisão.</w:t>
      </w:r>
    </w:p>
    <w:p w:rsidR="00261F49" w:rsidRPr="00D500E0" w:rsidRDefault="00261F4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C04C28" w:rsidRPr="00D500E0">
        <w:rPr>
          <w:rFonts w:cs="Arial"/>
          <w:szCs w:val="24"/>
        </w:rPr>
        <w:t>1</w:t>
      </w:r>
      <w:r w:rsidR="00BB0635" w:rsidRPr="00D500E0">
        <w:rPr>
          <w:rFonts w:cs="Arial"/>
          <w:szCs w:val="24"/>
        </w:rPr>
        <w:t>5</w:t>
      </w:r>
      <w:r w:rsidRPr="00D500E0">
        <w:rPr>
          <w:rFonts w:cs="Arial"/>
          <w:szCs w:val="24"/>
        </w:rPr>
        <w:t xml:space="preserve"> – Encaminhar para análise jurídica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C04C28" w:rsidRPr="00D500E0">
        <w:rPr>
          <w:rFonts w:cs="Arial"/>
          <w:szCs w:val="24"/>
        </w:rPr>
        <w:t>1</w:t>
      </w:r>
      <w:r w:rsidR="00BB0635" w:rsidRPr="00D500E0">
        <w:rPr>
          <w:rFonts w:cs="Arial"/>
          <w:szCs w:val="24"/>
        </w:rPr>
        <w:t>6</w:t>
      </w:r>
      <w:r w:rsidR="00F116C1" w:rsidRPr="00D500E0">
        <w:rPr>
          <w:rFonts w:cs="Arial"/>
          <w:szCs w:val="24"/>
        </w:rPr>
        <w:t xml:space="preserve"> – Emitir parecer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BC69CA" w:rsidRPr="00D500E0" w:rsidRDefault="00BC69CA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T1</w:t>
      </w:r>
      <w:r w:rsidR="00BB0635" w:rsidRPr="00D500E0">
        <w:rPr>
          <w:rFonts w:cs="Arial"/>
          <w:szCs w:val="24"/>
        </w:rPr>
        <w:t>7</w:t>
      </w:r>
      <w:r w:rsidRPr="00D500E0">
        <w:rPr>
          <w:rFonts w:cs="Arial"/>
          <w:szCs w:val="24"/>
        </w:rPr>
        <w:t xml:space="preserve"> – Tomar ciência</w:t>
      </w:r>
    </w:p>
    <w:p w:rsidR="000323DB" w:rsidRPr="00D500E0" w:rsidRDefault="000323DB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323DB" w:rsidRPr="00D500E0" w:rsidRDefault="008F6BBB" w:rsidP="00327D05">
      <w:pPr>
        <w:widowControl w:val="0"/>
        <w:autoSpaceDE w:val="0"/>
        <w:autoSpaceDN w:val="0"/>
        <w:adjustRightInd w:val="0"/>
        <w:spacing w:before="0" w:after="0"/>
      </w:pPr>
      <w:r w:rsidRPr="00D500E0">
        <w:rPr>
          <w:rFonts w:cs="Arial"/>
          <w:szCs w:val="24"/>
        </w:rPr>
        <w:t xml:space="preserve">Realizada a análise jurídica, </w:t>
      </w:r>
      <w:r w:rsidRPr="00D500E0">
        <w:t>o Ordenador de Despesa</w:t>
      </w:r>
      <w:r w:rsidR="00EE56B0" w:rsidRPr="00D500E0">
        <w:t>s</w:t>
      </w:r>
      <w:r w:rsidRPr="00D500E0">
        <w:t xml:space="preserve"> </w:t>
      </w:r>
      <w:r w:rsidRPr="00D500E0">
        <w:rPr>
          <w:rFonts w:cs="Arial"/>
          <w:szCs w:val="24"/>
        </w:rPr>
        <w:t xml:space="preserve">deverá examinar as recomendações do parecer, se existirem. </w:t>
      </w:r>
      <w:r w:rsidR="000323DB" w:rsidRPr="00D500E0">
        <w:t xml:space="preserve">Se não houver recomendação, o Ordenador de Despesas encaminha o processo para o Gestor/Comissão Gestora providenciar as assinaturas do Termo </w:t>
      </w:r>
      <w:r w:rsidR="00792014" w:rsidRPr="00D500E0">
        <w:t>Aditivo (T19</w:t>
      </w:r>
      <w:r w:rsidR="000323DB" w:rsidRPr="00D500E0">
        <w:t xml:space="preserve">). </w:t>
      </w:r>
      <w:r w:rsidR="006C7DB7" w:rsidRPr="00D500E0">
        <w:t>Caso contrário</w:t>
      </w:r>
      <w:r w:rsidR="000323DB" w:rsidRPr="00D500E0">
        <w:t>, o processo segue para atender as recomendações (T</w:t>
      </w:r>
      <w:r w:rsidR="00792014" w:rsidRPr="00D500E0">
        <w:t>18</w:t>
      </w:r>
      <w:r w:rsidR="000323DB" w:rsidRPr="00D500E0">
        <w:t>).</w:t>
      </w:r>
    </w:p>
    <w:p w:rsidR="000323DB" w:rsidRPr="00D500E0" w:rsidRDefault="000323DB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792014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T18</w:t>
      </w:r>
      <w:r w:rsidR="001714C7" w:rsidRPr="00D500E0">
        <w:rPr>
          <w:rFonts w:cs="Arial"/>
          <w:szCs w:val="24"/>
        </w:rPr>
        <w:t xml:space="preserve"> – Atender recomendações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8F6BBB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O</w:t>
      </w:r>
      <w:r w:rsidR="00BC69CA" w:rsidRPr="00D500E0">
        <w:t xml:space="preserve"> Gestor/Comissão Gestora </w:t>
      </w:r>
      <w:r w:rsidR="001714C7" w:rsidRPr="00D500E0">
        <w:rPr>
          <w:rFonts w:cs="Arial"/>
          <w:szCs w:val="24"/>
        </w:rPr>
        <w:t xml:space="preserve">deverá examinar as recomendações do parecer e providenciar os ajustes e/ou justificativas, submetendo </w:t>
      </w:r>
      <w:r w:rsidR="00B422F2" w:rsidRPr="00D500E0">
        <w:rPr>
          <w:rFonts w:cs="Arial"/>
          <w:szCs w:val="24"/>
        </w:rPr>
        <w:t>à</w:t>
      </w:r>
      <w:r w:rsidR="001714C7" w:rsidRPr="00D500E0">
        <w:rPr>
          <w:rFonts w:cs="Arial"/>
          <w:szCs w:val="24"/>
        </w:rPr>
        <w:t xml:space="preserve"> nova aprovação do Ordenad</w:t>
      </w:r>
      <w:r w:rsidR="00741D72" w:rsidRPr="00D500E0">
        <w:rPr>
          <w:rFonts w:cs="Arial"/>
          <w:szCs w:val="24"/>
        </w:rPr>
        <w:t>or de Despesas, se necessário.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972DB1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T19</w:t>
      </w:r>
      <w:r w:rsidR="001714C7" w:rsidRPr="00D500E0">
        <w:rPr>
          <w:rFonts w:cs="Arial"/>
          <w:szCs w:val="24"/>
        </w:rPr>
        <w:t xml:space="preserve"> – Providenciar assinaturas do </w:t>
      </w:r>
      <w:r w:rsidR="00696E1A" w:rsidRPr="00D500E0">
        <w:rPr>
          <w:rFonts w:cs="Arial"/>
          <w:szCs w:val="24"/>
        </w:rPr>
        <w:t>T</w:t>
      </w:r>
      <w:r w:rsidR="001714C7" w:rsidRPr="00D500E0">
        <w:rPr>
          <w:rFonts w:cs="Arial"/>
          <w:szCs w:val="24"/>
        </w:rPr>
        <w:t xml:space="preserve">ermo </w:t>
      </w:r>
      <w:r w:rsidR="00696E1A" w:rsidRPr="00D500E0">
        <w:rPr>
          <w:rFonts w:cs="Arial"/>
          <w:szCs w:val="24"/>
        </w:rPr>
        <w:t>A</w:t>
      </w:r>
      <w:r w:rsidR="001714C7" w:rsidRPr="00D500E0">
        <w:rPr>
          <w:rFonts w:cs="Arial"/>
          <w:szCs w:val="24"/>
        </w:rPr>
        <w:t>ditivo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B422F2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C</w:t>
      </w:r>
      <w:r w:rsidR="001714C7" w:rsidRPr="00D500E0">
        <w:rPr>
          <w:rFonts w:cs="Arial"/>
          <w:szCs w:val="24"/>
        </w:rPr>
        <w:t xml:space="preserve">olher assinaturas do </w:t>
      </w:r>
      <w:r w:rsidR="00867F60" w:rsidRPr="00D500E0">
        <w:rPr>
          <w:rFonts w:cs="Arial"/>
          <w:szCs w:val="24"/>
        </w:rPr>
        <w:t>Fornecedor</w:t>
      </w:r>
      <w:r w:rsidR="001714C7" w:rsidRPr="00D500E0">
        <w:rPr>
          <w:rFonts w:cs="Arial"/>
          <w:szCs w:val="24"/>
        </w:rPr>
        <w:t xml:space="preserve"> e do </w:t>
      </w:r>
      <w:r w:rsidR="009D625A" w:rsidRPr="00D500E0">
        <w:rPr>
          <w:rFonts w:cs="Arial"/>
          <w:szCs w:val="24"/>
        </w:rPr>
        <w:t>O</w:t>
      </w:r>
      <w:r w:rsidR="001714C7" w:rsidRPr="00D500E0">
        <w:rPr>
          <w:rFonts w:cs="Arial"/>
          <w:szCs w:val="24"/>
        </w:rPr>
        <w:t xml:space="preserve">rdenador de </w:t>
      </w:r>
      <w:r w:rsidR="009D625A" w:rsidRPr="00D500E0">
        <w:rPr>
          <w:rFonts w:cs="Arial"/>
          <w:szCs w:val="24"/>
        </w:rPr>
        <w:t>D</w:t>
      </w:r>
      <w:r w:rsidR="001714C7" w:rsidRPr="00D500E0">
        <w:rPr>
          <w:rFonts w:cs="Arial"/>
          <w:szCs w:val="24"/>
        </w:rPr>
        <w:t>espesas no Termo Aditivo.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F15BB0" w:rsidRPr="00D500E0">
        <w:rPr>
          <w:rFonts w:cs="Arial"/>
          <w:szCs w:val="24"/>
        </w:rPr>
        <w:t>20</w:t>
      </w:r>
      <w:r w:rsidRPr="00D500E0">
        <w:rPr>
          <w:rFonts w:cs="Arial"/>
          <w:szCs w:val="24"/>
        </w:rPr>
        <w:t xml:space="preserve"> – </w:t>
      </w:r>
      <w:r w:rsidR="00562FD9" w:rsidRPr="00D500E0">
        <w:rPr>
          <w:rFonts w:cs="Arial"/>
          <w:szCs w:val="24"/>
        </w:rPr>
        <w:t xml:space="preserve">Publicar o resumo do </w:t>
      </w:r>
      <w:r w:rsidR="00696E1A" w:rsidRPr="00D500E0">
        <w:rPr>
          <w:rFonts w:cs="Arial"/>
          <w:szCs w:val="24"/>
        </w:rPr>
        <w:t>T</w:t>
      </w:r>
      <w:r w:rsidR="00562FD9" w:rsidRPr="00D500E0">
        <w:rPr>
          <w:rFonts w:cs="Arial"/>
          <w:szCs w:val="24"/>
        </w:rPr>
        <w:t xml:space="preserve">ermo </w:t>
      </w:r>
      <w:r w:rsidR="00696E1A" w:rsidRPr="00D500E0">
        <w:rPr>
          <w:rFonts w:cs="Arial"/>
          <w:szCs w:val="24"/>
        </w:rPr>
        <w:t>A</w:t>
      </w:r>
      <w:r w:rsidR="00562FD9" w:rsidRPr="00D500E0">
        <w:rPr>
          <w:rFonts w:cs="Arial"/>
          <w:szCs w:val="24"/>
        </w:rPr>
        <w:t>ditivo</w:t>
      </w:r>
    </w:p>
    <w:p w:rsidR="00562FD9" w:rsidRPr="00D500E0" w:rsidRDefault="00562FD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ED5BD3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E</w:t>
      </w:r>
      <w:r w:rsidR="009D625A" w:rsidRPr="00D500E0">
        <w:rPr>
          <w:rFonts w:cs="Arial"/>
          <w:szCs w:val="24"/>
        </w:rPr>
        <w:t>laborar o resumo do Termo Aditivo e providenciar</w:t>
      </w:r>
      <w:r w:rsidR="001714C7" w:rsidRPr="00D500E0">
        <w:rPr>
          <w:rFonts w:cs="Arial"/>
          <w:szCs w:val="24"/>
        </w:rPr>
        <w:t xml:space="preserve"> </w:t>
      </w:r>
      <w:r w:rsidR="009D625A" w:rsidRPr="00D500E0">
        <w:rPr>
          <w:rFonts w:cs="Arial"/>
          <w:szCs w:val="24"/>
        </w:rPr>
        <w:t xml:space="preserve">sua </w:t>
      </w:r>
      <w:r w:rsidR="001714C7" w:rsidRPr="00D500E0">
        <w:rPr>
          <w:rFonts w:cs="Arial"/>
          <w:szCs w:val="24"/>
        </w:rPr>
        <w:t xml:space="preserve">publicação </w:t>
      </w:r>
      <w:r w:rsidR="007C5FC8" w:rsidRPr="00D500E0">
        <w:rPr>
          <w:rFonts w:cs="Arial"/>
          <w:szCs w:val="24"/>
        </w:rPr>
        <w:t xml:space="preserve">no Diário </w:t>
      </w:r>
      <w:r w:rsidR="001714C7" w:rsidRPr="00D500E0">
        <w:rPr>
          <w:rFonts w:cs="Arial"/>
          <w:szCs w:val="24"/>
        </w:rPr>
        <w:t>O</w:t>
      </w:r>
      <w:r w:rsidR="007C5FC8" w:rsidRPr="00D500E0">
        <w:rPr>
          <w:rFonts w:cs="Arial"/>
          <w:szCs w:val="24"/>
        </w:rPr>
        <w:t>ficial do Estado</w:t>
      </w:r>
      <w:r w:rsidR="001714C7" w:rsidRPr="00D500E0">
        <w:rPr>
          <w:rFonts w:cs="Arial"/>
          <w:szCs w:val="24"/>
        </w:rPr>
        <w:t xml:space="preserve"> de forma imediata.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>T</w:t>
      </w:r>
      <w:r w:rsidR="003672E8" w:rsidRPr="00D500E0">
        <w:rPr>
          <w:rFonts w:cs="Arial"/>
          <w:szCs w:val="24"/>
        </w:rPr>
        <w:t>2</w:t>
      </w:r>
      <w:r w:rsidR="0047533E" w:rsidRPr="00D500E0">
        <w:rPr>
          <w:rFonts w:cs="Arial"/>
          <w:szCs w:val="24"/>
        </w:rPr>
        <w:t>1</w:t>
      </w:r>
      <w:r w:rsidRPr="00D500E0">
        <w:rPr>
          <w:rFonts w:cs="Arial"/>
          <w:szCs w:val="24"/>
        </w:rPr>
        <w:t xml:space="preserve"> – </w:t>
      </w:r>
      <w:r w:rsidR="00175B89" w:rsidRPr="00D500E0">
        <w:rPr>
          <w:rFonts w:cs="Arial"/>
          <w:szCs w:val="24"/>
        </w:rPr>
        <w:t>Informar</w:t>
      </w:r>
      <w:r w:rsidRPr="00D500E0">
        <w:rPr>
          <w:rFonts w:cs="Arial"/>
          <w:szCs w:val="24"/>
        </w:rPr>
        <w:t xml:space="preserve"> os interessados</w:t>
      </w:r>
    </w:p>
    <w:p w:rsidR="001714C7" w:rsidRPr="00D500E0" w:rsidRDefault="001714C7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714C7" w:rsidRPr="00D500E0" w:rsidRDefault="00175B89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D500E0">
        <w:rPr>
          <w:rFonts w:cs="Arial"/>
          <w:szCs w:val="24"/>
        </w:rPr>
        <w:t xml:space="preserve">Informar </w:t>
      </w:r>
      <w:r w:rsidR="00767F5F" w:rsidRPr="00D500E0">
        <w:rPr>
          <w:rFonts w:cs="Arial"/>
          <w:szCs w:val="24"/>
        </w:rPr>
        <w:t xml:space="preserve">ao Fornecedor e </w:t>
      </w:r>
      <w:r w:rsidR="0012447B" w:rsidRPr="00D500E0">
        <w:rPr>
          <w:rFonts w:cs="Arial"/>
          <w:szCs w:val="24"/>
        </w:rPr>
        <w:t>a</w:t>
      </w:r>
      <w:r w:rsidR="001714C7" w:rsidRPr="00D500E0">
        <w:rPr>
          <w:rFonts w:cs="Arial"/>
          <w:szCs w:val="24"/>
        </w:rPr>
        <w:t>os órgãos participantes e adesos a publicação do</w:t>
      </w:r>
      <w:r w:rsidR="00BC69CA" w:rsidRPr="00D500E0">
        <w:rPr>
          <w:rFonts w:cs="Arial"/>
          <w:szCs w:val="24"/>
        </w:rPr>
        <w:t xml:space="preserve"> Termo Aditivo com o</w:t>
      </w:r>
      <w:r w:rsidR="001714C7" w:rsidRPr="00D500E0">
        <w:rPr>
          <w:rFonts w:cs="Arial"/>
          <w:szCs w:val="24"/>
        </w:rPr>
        <w:t>s novos preços</w:t>
      </w:r>
      <w:r w:rsidR="00767F5F" w:rsidRPr="00D500E0">
        <w:rPr>
          <w:rFonts w:cs="Arial"/>
          <w:szCs w:val="24"/>
        </w:rPr>
        <w:t xml:space="preserve"> registrados</w:t>
      </w:r>
      <w:r w:rsidR="001714C7" w:rsidRPr="00D500E0">
        <w:rPr>
          <w:rFonts w:cs="Arial"/>
          <w:szCs w:val="24"/>
        </w:rPr>
        <w:t>.</w:t>
      </w:r>
    </w:p>
    <w:p w:rsidR="00ED7FD2" w:rsidRPr="00D500E0" w:rsidRDefault="00ED7FD2" w:rsidP="00327D05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C42236" w:rsidRPr="00D500E0" w:rsidRDefault="00C42236" w:rsidP="00327D05">
      <w:pPr>
        <w:widowControl w:val="0"/>
        <w:autoSpaceDE w:val="0"/>
        <w:autoSpaceDN w:val="0"/>
        <w:adjustRightInd w:val="0"/>
        <w:spacing w:after="0"/>
        <w:rPr>
          <w:u w:val="single"/>
        </w:rPr>
        <w:sectPr w:rsidR="00C42236" w:rsidRPr="00D500E0" w:rsidSect="00CA00F0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7282D" w:rsidRDefault="00122439" w:rsidP="00122439">
      <w:pPr>
        <w:widowControl w:val="0"/>
        <w:jc w:val="center"/>
        <w:rPr>
          <w:u w:val="single"/>
        </w:rPr>
      </w:pPr>
      <w:r>
        <w:rPr>
          <w:noProof/>
          <w:lang w:eastAsia="pt-BR"/>
        </w:rPr>
        <w:drawing>
          <wp:inline distT="0" distB="0" distL="0" distR="0" wp14:anchorId="53AB7EE2" wp14:editId="49B07FD3">
            <wp:extent cx="9251950" cy="5267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9007"/>
                    <a:stretch/>
                  </pic:blipFill>
                  <pic:spPr bwMode="auto">
                    <a:xfrm>
                      <a:off x="0" y="0"/>
                      <a:ext cx="9251950" cy="526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82D" w:rsidRDefault="0097282D" w:rsidP="00327D05">
      <w:pPr>
        <w:widowControl w:val="0"/>
        <w:rPr>
          <w:u w:val="single"/>
        </w:rPr>
        <w:sectPr w:rsidR="0097282D" w:rsidSect="00C42236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B6610C" w:rsidRPr="00670617" w:rsidRDefault="00B855B6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>
        <w:t>INFORMAÇÕES ADICIONAIS</w:t>
      </w:r>
    </w:p>
    <w:p w:rsidR="00A42E60" w:rsidRPr="00C50D9B" w:rsidRDefault="006D65EA" w:rsidP="00327D05">
      <w:pPr>
        <w:pStyle w:val="N11"/>
        <w:widowControl w:val="0"/>
        <w:numPr>
          <w:ilvl w:val="0"/>
          <w:numId w:val="9"/>
        </w:numPr>
        <w:ind w:left="567" w:hanging="567"/>
      </w:pPr>
      <w:r w:rsidRPr="00C50D9B">
        <w:t>Quanto ao processo</w:t>
      </w:r>
      <w:r w:rsidR="00A42E60" w:rsidRPr="00C50D9B">
        <w:t xml:space="preserve"> </w:t>
      </w:r>
      <w:r w:rsidR="008D40E0" w:rsidRPr="00C50D9B">
        <w:t>de</w:t>
      </w:r>
      <w:r w:rsidR="00E25360" w:rsidRPr="00C50D9B">
        <w:t xml:space="preserve"> revisão de preços</w:t>
      </w:r>
      <w:r w:rsidR="00C872A7" w:rsidRPr="00C50D9B">
        <w:t xml:space="preserve"> n</w:t>
      </w:r>
      <w:r w:rsidR="00A42E60" w:rsidRPr="00C50D9B">
        <w:t>a Ata de Registro de Preços</w:t>
      </w:r>
      <w:r w:rsidR="008D40E0" w:rsidRPr="00C50D9B">
        <w:t xml:space="preserve">, </w:t>
      </w:r>
      <w:r w:rsidRPr="00C50D9B">
        <w:t>recomenda-se que seja autônomo e específico</w:t>
      </w:r>
      <w:r w:rsidR="00A42E60" w:rsidRPr="00C50D9B">
        <w:t xml:space="preserve">, </w:t>
      </w:r>
      <w:r w:rsidRPr="00C50D9B">
        <w:t>devendo ser apensado ao processo da ARP</w:t>
      </w:r>
      <w:r w:rsidR="00C50D9B" w:rsidRPr="00C50D9B">
        <w:t xml:space="preserve"> oportunamente</w:t>
      </w:r>
      <w:r w:rsidR="00A42E60" w:rsidRPr="00C50D9B">
        <w:t>.</w:t>
      </w:r>
    </w:p>
    <w:p w:rsidR="00AD0E4E" w:rsidRDefault="00A22011" w:rsidP="00327D05">
      <w:pPr>
        <w:pStyle w:val="N11"/>
        <w:widowControl w:val="0"/>
        <w:numPr>
          <w:ilvl w:val="0"/>
          <w:numId w:val="9"/>
        </w:numPr>
        <w:ind w:left="567" w:hanging="567"/>
      </w:pPr>
      <w:r w:rsidRPr="00A22011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>
        <w:t xml:space="preserve">córdão 413/2013 </w:t>
      </w:r>
      <w:r w:rsidR="00F61BEA">
        <w:t>–</w:t>
      </w:r>
      <w:r w:rsidR="00AD0E4E">
        <w:t xml:space="preserve"> TCU Plenário)</w:t>
      </w:r>
      <w:r w:rsidR="002202A8">
        <w:t>.</w:t>
      </w:r>
    </w:p>
    <w:p w:rsidR="00A22011" w:rsidRPr="00A22011" w:rsidRDefault="00A22011" w:rsidP="00E55D5C">
      <w:pPr>
        <w:pStyle w:val="N11"/>
        <w:widowControl w:val="0"/>
        <w:numPr>
          <w:ilvl w:val="0"/>
          <w:numId w:val="10"/>
        </w:numPr>
        <w:tabs>
          <w:tab w:val="left" w:pos="993"/>
        </w:tabs>
        <w:ind w:left="993" w:hanging="709"/>
      </w:pPr>
      <w:r w:rsidRPr="00A22011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homenagem ao princípio da moralidade.</w:t>
      </w:r>
    </w:p>
    <w:p w:rsidR="00AD0E4E" w:rsidRPr="00D500E0" w:rsidRDefault="00A22011" w:rsidP="00327D05">
      <w:pPr>
        <w:pStyle w:val="N11"/>
        <w:widowControl w:val="0"/>
        <w:numPr>
          <w:ilvl w:val="0"/>
          <w:numId w:val="9"/>
        </w:numPr>
        <w:ind w:left="567" w:hanging="567"/>
      </w:pPr>
      <w:r w:rsidRPr="00A22011">
        <w:t xml:space="preserve">As atribuições de responsabilidade do Ordenador de Despesas/Autoridade Competente poderão ser exercidas por diferentes servidores em um mesmo </w:t>
      </w:r>
      <w:r w:rsidRPr="00D500E0">
        <w:t>processo, na hipótese de haver delegação para esse fim.</w:t>
      </w:r>
    </w:p>
    <w:p w:rsidR="00AD0E4E" w:rsidRPr="00D500E0" w:rsidRDefault="00EC4E4A" w:rsidP="00327D05">
      <w:pPr>
        <w:pStyle w:val="N11"/>
        <w:widowControl w:val="0"/>
        <w:numPr>
          <w:ilvl w:val="0"/>
          <w:numId w:val="9"/>
        </w:numPr>
        <w:ind w:left="567" w:hanging="567"/>
      </w:pPr>
      <w:r w:rsidRPr="00D500E0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B41E2F" w:rsidRPr="00D500E0">
        <w:t>.</w:t>
      </w:r>
    </w:p>
    <w:p w:rsidR="00C76F5C" w:rsidRPr="00D500E0" w:rsidRDefault="00C76F5C" w:rsidP="00327D05">
      <w:pPr>
        <w:pStyle w:val="N11"/>
        <w:widowControl w:val="0"/>
        <w:numPr>
          <w:ilvl w:val="0"/>
          <w:numId w:val="9"/>
        </w:numPr>
        <w:ind w:left="567" w:hanging="567"/>
      </w:pPr>
      <w:r w:rsidRPr="00D500E0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Pr="00D500E0" w:rsidRDefault="002714C5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D500E0">
        <w:t>ANEXOS</w:t>
      </w:r>
    </w:p>
    <w:p w:rsidR="007D78A8" w:rsidRPr="00D500E0" w:rsidRDefault="006B24A5" w:rsidP="00327D05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D500E0">
        <w:rPr>
          <w:b w:val="0"/>
        </w:rPr>
        <w:t>Não aplicável.</w:t>
      </w:r>
    </w:p>
    <w:p w:rsidR="008639CE" w:rsidRPr="00D500E0" w:rsidRDefault="00A47C01" w:rsidP="00327D05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D500E0">
        <w:t>ASSINATURAS</w:t>
      </w:r>
    </w:p>
    <w:tbl>
      <w:tblPr>
        <w:tblStyle w:val="Tabelacomgrade2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500E0" w:rsidRPr="00D500E0" w:rsidTr="008A7EA7">
        <w:trPr>
          <w:trHeight w:val="557"/>
        </w:trPr>
        <w:tc>
          <w:tcPr>
            <w:tcW w:w="9072" w:type="dxa"/>
            <w:gridSpan w:val="2"/>
            <w:vAlign w:val="center"/>
          </w:tcPr>
          <w:p w:rsidR="009B7133" w:rsidRPr="00D500E0" w:rsidRDefault="009B7133" w:rsidP="00C847A6">
            <w:pPr>
              <w:widowControl w:val="0"/>
              <w:spacing w:before="0" w:after="0"/>
              <w:rPr>
                <w:szCs w:val="24"/>
              </w:rPr>
            </w:pPr>
            <w:r w:rsidRPr="00D500E0">
              <w:rPr>
                <w:sz w:val="24"/>
                <w:szCs w:val="24"/>
              </w:rPr>
              <w:t xml:space="preserve">EQUIPE DE </w:t>
            </w:r>
            <w:r w:rsidR="00C847A6" w:rsidRPr="00D500E0">
              <w:rPr>
                <w:sz w:val="24"/>
                <w:szCs w:val="24"/>
              </w:rPr>
              <w:t>REVIS</w:t>
            </w:r>
            <w:r w:rsidRPr="00D500E0">
              <w:rPr>
                <w:sz w:val="24"/>
                <w:szCs w:val="24"/>
              </w:rPr>
              <w:t>ÃO – SCL Nº 009</w:t>
            </w:r>
            <w:r w:rsidR="006709F3" w:rsidRPr="00D500E0">
              <w:rPr>
                <w:sz w:val="24"/>
                <w:szCs w:val="24"/>
              </w:rPr>
              <w:t>, Versão 2</w:t>
            </w:r>
            <w:r w:rsidRPr="00D500E0">
              <w:rPr>
                <w:sz w:val="24"/>
                <w:szCs w:val="24"/>
              </w:rPr>
              <w:t>:</w:t>
            </w:r>
          </w:p>
        </w:tc>
      </w:tr>
      <w:tr w:rsidR="00D500E0" w:rsidRPr="00D500E0" w:rsidTr="00B04131">
        <w:tc>
          <w:tcPr>
            <w:tcW w:w="4536" w:type="dxa"/>
            <w:vAlign w:val="center"/>
          </w:tcPr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Luciana Lopes Pinheiro</w:t>
            </w: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Gerente de Licitações</w:t>
            </w: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530A91" w:rsidRPr="00D500E0" w:rsidRDefault="00530A91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530A91" w:rsidRPr="00D500E0" w:rsidRDefault="00530A91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530A91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Henrique José Grilo de Almeida</w:t>
            </w: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Analista do Executivo</w:t>
            </w:r>
          </w:p>
          <w:p w:rsidR="00530A91" w:rsidRPr="00D500E0" w:rsidRDefault="00530A91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9B7133" w:rsidRPr="00213E7D" w:rsidTr="00B04131">
        <w:tc>
          <w:tcPr>
            <w:tcW w:w="4536" w:type="dxa"/>
            <w:vAlign w:val="center"/>
          </w:tcPr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>Carolina Bragatto Dal Piaz</w:t>
            </w: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>Analista do Executivo</w:t>
            </w: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5C5793" w:rsidRPr="00213E7D" w:rsidRDefault="005C579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213E7D" w:rsidRDefault="00530A91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>Heloiza da Rocha Rodrigues</w:t>
            </w:r>
          </w:p>
          <w:p w:rsidR="009B7133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>Analista do Executivo</w:t>
            </w:r>
          </w:p>
          <w:p w:rsidR="005C5793" w:rsidRPr="00213E7D" w:rsidRDefault="005C579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9B7133" w:rsidRPr="00213E7D" w:rsidTr="00B04131">
        <w:tc>
          <w:tcPr>
            <w:tcW w:w="4536" w:type="dxa"/>
            <w:vAlign w:val="center"/>
          </w:tcPr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D500E0" w:rsidRDefault="00163CB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Luiz Felipe Pimenta Gramelisch</w:t>
            </w:r>
          </w:p>
          <w:p w:rsidR="009B7133" w:rsidRPr="00D500E0" w:rsidRDefault="00B04131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Analista de Gestão de Serviços Gráficos</w:t>
            </w:r>
          </w:p>
          <w:p w:rsidR="009B7133" w:rsidRPr="00D500E0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B7133" w:rsidRPr="00D500E0" w:rsidRDefault="00C847A6" w:rsidP="00D500E0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 w:val="24"/>
                <w:szCs w:val="24"/>
              </w:rPr>
            </w:pPr>
            <w:r w:rsidRPr="00D500E0">
              <w:rPr>
                <w:sz w:val="24"/>
                <w:szCs w:val="24"/>
              </w:rPr>
              <w:t>Revis</w:t>
            </w:r>
            <w:r w:rsidR="009B7133" w:rsidRPr="00D500E0">
              <w:rPr>
                <w:sz w:val="24"/>
                <w:szCs w:val="24"/>
              </w:rPr>
              <w:t xml:space="preserve">ado em </w:t>
            </w:r>
            <w:r w:rsidR="00D500E0">
              <w:rPr>
                <w:sz w:val="24"/>
                <w:szCs w:val="24"/>
              </w:rPr>
              <w:t>18/12</w:t>
            </w:r>
            <w:r w:rsidR="009B7133" w:rsidRPr="00D500E0">
              <w:rPr>
                <w:sz w:val="24"/>
                <w:szCs w:val="24"/>
              </w:rPr>
              <w:t>/201</w:t>
            </w:r>
            <w:r w:rsidR="00163CB3" w:rsidRPr="00D500E0">
              <w:rPr>
                <w:sz w:val="24"/>
                <w:szCs w:val="24"/>
              </w:rPr>
              <w:t>9</w:t>
            </w:r>
          </w:p>
        </w:tc>
      </w:tr>
      <w:tr w:rsidR="009B7133" w:rsidRPr="00213E7D" w:rsidTr="009B7133">
        <w:tc>
          <w:tcPr>
            <w:tcW w:w="9072" w:type="dxa"/>
            <w:gridSpan w:val="2"/>
            <w:vAlign w:val="center"/>
          </w:tcPr>
          <w:p w:rsidR="009B7133" w:rsidRPr="00213E7D" w:rsidRDefault="009B7133" w:rsidP="004F1F2F">
            <w:pPr>
              <w:widowControl w:val="0"/>
              <w:spacing w:before="60" w:after="60"/>
              <w:jc w:val="left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>APROVAÇÃO:</w:t>
            </w:r>
          </w:p>
        </w:tc>
      </w:tr>
      <w:tr w:rsidR="009B7133" w:rsidRPr="00213E7D" w:rsidTr="00B04131">
        <w:tc>
          <w:tcPr>
            <w:tcW w:w="4536" w:type="dxa"/>
            <w:vAlign w:val="center"/>
          </w:tcPr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9B7133" w:rsidRPr="00163CB3" w:rsidRDefault="00163CB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163CB3">
              <w:rPr>
                <w:sz w:val="24"/>
                <w:szCs w:val="24"/>
              </w:rPr>
              <w:t>Lenise Menezes Loureiro</w:t>
            </w: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>Secretária de Estado de Gestão e Recursos Humanos</w:t>
            </w:r>
          </w:p>
          <w:p w:rsidR="009B7133" w:rsidRPr="00213E7D" w:rsidRDefault="009B7133" w:rsidP="004F1F2F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B7133" w:rsidRPr="00213E7D" w:rsidRDefault="009B7133" w:rsidP="00D500E0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213E7D">
              <w:rPr>
                <w:sz w:val="24"/>
                <w:szCs w:val="24"/>
              </w:rPr>
              <w:t xml:space="preserve">Aprovado </w:t>
            </w:r>
            <w:r w:rsidRPr="00D500E0">
              <w:rPr>
                <w:sz w:val="24"/>
                <w:szCs w:val="24"/>
              </w:rPr>
              <w:t xml:space="preserve">em </w:t>
            </w:r>
            <w:r w:rsidR="00D500E0">
              <w:rPr>
                <w:sz w:val="24"/>
                <w:szCs w:val="24"/>
              </w:rPr>
              <w:t>18/12/</w:t>
            </w:r>
            <w:r w:rsidRPr="00D500E0">
              <w:rPr>
                <w:sz w:val="24"/>
                <w:szCs w:val="24"/>
              </w:rPr>
              <w:t>201</w:t>
            </w:r>
            <w:r w:rsidR="00163CB3" w:rsidRPr="00D500E0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9B7133" w:rsidRPr="00530A91" w:rsidRDefault="009B7133" w:rsidP="009B7133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p w:rsidR="00C20A6E" w:rsidRPr="00530A91" w:rsidRDefault="00C20A6E" w:rsidP="00327D05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p w:rsidR="00C20A6E" w:rsidRPr="00530A91" w:rsidRDefault="00C20A6E" w:rsidP="00327D05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sectPr w:rsidR="00C20A6E" w:rsidRPr="00530A91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07" w:rsidRDefault="00020207" w:rsidP="00DF144B">
      <w:pPr>
        <w:spacing w:before="0" w:after="0"/>
      </w:pPr>
      <w:r>
        <w:separator/>
      </w:r>
    </w:p>
  </w:endnote>
  <w:endnote w:type="continuationSeparator" w:id="0">
    <w:p w:rsidR="00020207" w:rsidRDefault="00020207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07" w:rsidRDefault="00020207" w:rsidP="00DF144B">
      <w:pPr>
        <w:spacing w:before="0" w:after="0"/>
      </w:pPr>
      <w:r>
        <w:separator/>
      </w:r>
    </w:p>
  </w:footnote>
  <w:footnote w:type="continuationSeparator" w:id="0">
    <w:p w:rsidR="00020207" w:rsidRDefault="00020207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19" name="Imagem 19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C700BD"/>
    <w:multiLevelType w:val="hybridMultilevel"/>
    <w:tmpl w:val="EB465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CAD"/>
    <w:multiLevelType w:val="hybridMultilevel"/>
    <w:tmpl w:val="D464A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6F9"/>
    <w:multiLevelType w:val="hybridMultilevel"/>
    <w:tmpl w:val="6CC06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9D927C3"/>
    <w:multiLevelType w:val="hybridMultilevel"/>
    <w:tmpl w:val="932EF890"/>
    <w:lvl w:ilvl="0" w:tplc="4544B6BA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17632"/>
    <w:multiLevelType w:val="hybridMultilevel"/>
    <w:tmpl w:val="0D20FE44"/>
    <w:lvl w:ilvl="0" w:tplc="C3B0B3C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43C5B"/>
    <w:multiLevelType w:val="hybridMultilevel"/>
    <w:tmpl w:val="5D749C1A"/>
    <w:lvl w:ilvl="0" w:tplc="CF5CAC5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2BED"/>
    <w:multiLevelType w:val="hybridMultilevel"/>
    <w:tmpl w:val="4DD8CBC4"/>
    <w:lvl w:ilvl="0" w:tplc="C0642E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558"/>
    <w:multiLevelType w:val="hybridMultilevel"/>
    <w:tmpl w:val="912CE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10"/>
  </w:num>
  <w:num w:numId="12">
    <w:abstractNumId w:val="4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10C"/>
    <w:rsid w:val="00002103"/>
    <w:rsid w:val="00006B68"/>
    <w:rsid w:val="00016DC9"/>
    <w:rsid w:val="00020207"/>
    <w:rsid w:val="00024F4D"/>
    <w:rsid w:val="00026FDE"/>
    <w:rsid w:val="000309BB"/>
    <w:rsid w:val="000323DB"/>
    <w:rsid w:val="000344EB"/>
    <w:rsid w:val="00035106"/>
    <w:rsid w:val="00041540"/>
    <w:rsid w:val="00051BDE"/>
    <w:rsid w:val="00060252"/>
    <w:rsid w:val="00061483"/>
    <w:rsid w:val="00065A83"/>
    <w:rsid w:val="0006601C"/>
    <w:rsid w:val="00074B0C"/>
    <w:rsid w:val="0007669A"/>
    <w:rsid w:val="00084888"/>
    <w:rsid w:val="00087244"/>
    <w:rsid w:val="00090ECF"/>
    <w:rsid w:val="00091922"/>
    <w:rsid w:val="000923B5"/>
    <w:rsid w:val="000924A3"/>
    <w:rsid w:val="000A08BC"/>
    <w:rsid w:val="000A0B5D"/>
    <w:rsid w:val="000A13E9"/>
    <w:rsid w:val="000B04EB"/>
    <w:rsid w:val="000B47F2"/>
    <w:rsid w:val="000B5421"/>
    <w:rsid w:val="000D064A"/>
    <w:rsid w:val="000E5300"/>
    <w:rsid w:val="000F578B"/>
    <w:rsid w:val="00104F48"/>
    <w:rsid w:val="00110457"/>
    <w:rsid w:val="00115F82"/>
    <w:rsid w:val="00116BDF"/>
    <w:rsid w:val="00120A9A"/>
    <w:rsid w:val="00122439"/>
    <w:rsid w:val="0012447B"/>
    <w:rsid w:val="00125AE2"/>
    <w:rsid w:val="0012663E"/>
    <w:rsid w:val="0013300C"/>
    <w:rsid w:val="00151D50"/>
    <w:rsid w:val="00161A94"/>
    <w:rsid w:val="00163CB3"/>
    <w:rsid w:val="001657C8"/>
    <w:rsid w:val="001714C7"/>
    <w:rsid w:val="00175B89"/>
    <w:rsid w:val="0017600D"/>
    <w:rsid w:val="001818A6"/>
    <w:rsid w:val="00183240"/>
    <w:rsid w:val="00185CAB"/>
    <w:rsid w:val="00193D1C"/>
    <w:rsid w:val="0019543A"/>
    <w:rsid w:val="001A506A"/>
    <w:rsid w:val="001A6048"/>
    <w:rsid w:val="001B231B"/>
    <w:rsid w:val="001B6787"/>
    <w:rsid w:val="001B77C5"/>
    <w:rsid w:val="001B7EC2"/>
    <w:rsid w:val="001C1DAC"/>
    <w:rsid w:val="001C28DE"/>
    <w:rsid w:val="001C3433"/>
    <w:rsid w:val="001C40A3"/>
    <w:rsid w:val="001C5508"/>
    <w:rsid w:val="001D3299"/>
    <w:rsid w:val="001D677B"/>
    <w:rsid w:val="001E3183"/>
    <w:rsid w:val="001E644C"/>
    <w:rsid w:val="001E7166"/>
    <w:rsid w:val="001E720F"/>
    <w:rsid w:val="001F1B66"/>
    <w:rsid w:val="001F621A"/>
    <w:rsid w:val="0020569C"/>
    <w:rsid w:val="00213E7D"/>
    <w:rsid w:val="00215415"/>
    <w:rsid w:val="002202A8"/>
    <w:rsid w:val="0026041F"/>
    <w:rsid w:val="00261AB3"/>
    <w:rsid w:val="00261F49"/>
    <w:rsid w:val="002627DE"/>
    <w:rsid w:val="00264F0F"/>
    <w:rsid w:val="00265CDD"/>
    <w:rsid w:val="00267220"/>
    <w:rsid w:val="00267812"/>
    <w:rsid w:val="002714C5"/>
    <w:rsid w:val="00281C5D"/>
    <w:rsid w:val="00282103"/>
    <w:rsid w:val="00294341"/>
    <w:rsid w:val="00295A92"/>
    <w:rsid w:val="002A196B"/>
    <w:rsid w:val="002A2D6C"/>
    <w:rsid w:val="002A3D65"/>
    <w:rsid w:val="002C0D4B"/>
    <w:rsid w:val="002C2B0A"/>
    <w:rsid w:val="002C69DF"/>
    <w:rsid w:val="002D46E5"/>
    <w:rsid w:val="002D5E20"/>
    <w:rsid w:val="002F2E5F"/>
    <w:rsid w:val="002F4A00"/>
    <w:rsid w:val="002F6C20"/>
    <w:rsid w:val="00304886"/>
    <w:rsid w:val="00304BC6"/>
    <w:rsid w:val="00306687"/>
    <w:rsid w:val="0031070B"/>
    <w:rsid w:val="00327D05"/>
    <w:rsid w:val="00330F54"/>
    <w:rsid w:val="0034453A"/>
    <w:rsid w:val="00344E26"/>
    <w:rsid w:val="00353217"/>
    <w:rsid w:val="00355620"/>
    <w:rsid w:val="0036291B"/>
    <w:rsid w:val="003672E8"/>
    <w:rsid w:val="00374A76"/>
    <w:rsid w:val="00391026"/>
    <w:rsid w:val="003A0748"/>
    <w:rsid w:val="003B082E"/>
    <w:rsid w:val="003B1B5E"/>
    <w:rsid w:val="003B51BE"/>
    <w:rsid w:val="003B65D7"/>
    <w:rsid w:val="003B6621"/>
    <w:rsid w:val="003B6A9B"/>
    <w:rsid w:val="003D3CF4"/>
    <w:rsid w:val="003D4A71"/>
    <w:rsid w:val="00402875"/>
    <w:rsid w:val="0040488F"/>
    <w:rsid w:val="004065F2"/>
    <w:rsid w:val="00412355"/>
    <w:rsid w:val="004130EF"/>
    <w:rsid w:val="00417774"/>
    <w:rsid w:val="004224BE"/>
    <w:rsid w:val="004242AA"/>
    <w:rsid w:val="00424738"/>
    <w:rsid w:val="004272CB"/>
    <w:rsid w:val="00442818"/>
    <w:rsid w:val="00443433"/>
    <w:rsid w:val="00444F3E"/>
    <w:rsid w:val="00446DFF"/>
    <w:rsid w:val="00457366"/>
    <w:rsid w:val="004606A7"/>
    <w:rsid w:val="0047063B"/>
    <w:rsid w:val="0047533E"/>
    <w:rsid w:val="00481ABA"/>
    <w:rsid w:val="00483843"/>
    <w:rsid w:val="00490BD3"/>
    <w:rsid w:val="00496519"/>
    <w:rsid w:val="0049687C"/>
    <w:rsid w:val="004A55AD"/>
    <w:rsid w:val="004A6B3F"/>
    <w:rsid w:val="004B078C"/>
    <w:rsid w:val="004B1A85"/>
    <w:rsid w:val="004B576D"/>
    <w:rsid w:val="004C0622"/>
    <w:rsid w:val="004C0739"/>
    <w:rsid w:val="004D12C8"/>
    <w:rsid w:val="004D48C2"/>
    <w:rsid w:val="004E42D6"/>
    <w:rsid w:val="004E7173"/>
    <w:rsid w:val="004F0286"/>
    <w:rsid w:val="004F1F46"/>
    <w:rsid w:val="004F57CC"/>
    <w:rsid w:val="00501DF2"/>
    <w:rsid w:val="0050719F"/>
    <w:rsid w:val="00510592"/>
    <w:rsid w:val="005138F2"/>
    <w:rsid w:val="00514F1A"/>
    <w:rsid w:val="00530A91"/>
    <w:rsid w:val="00531521"/>
    <w:rsid w:val="005409F9"/>
    <w:rsid w:val="0054420B"/>
    <w:rsid w:val="005455A4"/>
    <w:rsid w:val="005456F2"/>
    <w:rsid w:val="00547335"/>
    <w:rsid w:val="0055375A"/>
    <w:rsid w:val="00554405"/>
    <w:rsid w:val="00561B76"/>
    <w:rsid w:val="00562D0A"/>
    <w:rsid w:val="00562FD9"/>
    <w:rsid w:val="005769CD"/>
    <w:rsid w:val="00580D72"/>
    <w:rsid w:val="005835EC"/>
    <w:rsid w:val="00591EB5"/>
    <w:rsid w:val="00592DF2"/>
    <w:rsid w:val="00595CE7"/>
    <w:rsid w:val="005A015D"/>
    <w:rsid w:val="005A371F"/>
    <w:rsid w:val="005A420E"/>
    <w:rsid w:val="005A6538"/>
    <w:rsid w:val="005B0306"/>
    <w:rsid w:val="005B26D2"/>
    <w:rsid w:val="005C00DB"/>
    <w:rsid w:val="005C367B"/>
    <w:rsid w:val="005C5793"/>
    <w:rsid w:val="005C7153"/>
    <w:rsid w:val="005D769B"/>
    <w:rsid w:val="005E50EF"/>
    <w:rsid w:val="005E677A"/>
    <w:rsid w:val="005F5078"/>
    <w:rsid w:val="00603519"/>
    <w:rsid w:val="00603552"/>
    <w:rsid w:val="00603B67"/>
    <w:rsid w:val="0060630A"/>
    <w:rsid w:val="00624897"/>
    <w:rsid w:val="0062637F"/>
    <w:rsid w:val="0062728E"/>
    <w:rsid w:val="00630607"/>
    <w:rsid w:val="006361F9"/>
    <w:rsid w:val="00640EF6"/>
    <w:rsid w:val="00651D82"/>
    <w:rsid w:val="0065561E"/>
    <w:rsid w:val="006609FD"/>
    <w:rsid w:val="006664AB"/>
    <w:rsid w:val="00670921"/>
    <w:rsid w:val="006709F3"/>
    <w:rsid w:val="006716E0"/>
    <w:rsid w:val="0067356F"/>
    <w:rsid w:val="006808F9"/>
    <w:rsid w:val="00680B1E"/>
    <w:rsid w:val="00686073"/>
    <w:rsid w:val="00692BB5"/>
    <w:rsid w:val="00696BAB"/>
    <w:rsid w:val="00696E1A"/>
    <w:rsid w:val="006A1541"/>
    <w:rsid w:val="006A2E01"/>
    <w:rsid w:val="006A2F50"/>
    <w:rsid w:val="006B14AF"/>
    <w:rsid w:val="006B24A5"/>
    <w:rsid w:val="006B2EAA"/>
    <w:rsid w:val="006B688B"/>
    <w:rsid w:val="006C7DB7"/>
    <w:rsid w:val="006D65EA"/>
    <w:rsid w:val="006D6BEE"/>
    <w:rsid w:val="006E3792"/>
    <w:rsid w:val="006F7EA2"/>
    <w:rsid w:val="00701A66"/>
    <w:rsid w:val="0070460D"/>
    <w:rsid w:val="00712FEE"/>
    <w:rsid w:val="00715B1F"/>
    <w:rsid w:val="00717477"/>
    <w:rsid w:val="0072228E"/>
    <w:rsid w:val="00722A28"/>
    <w:rsid w:val="00723B19"/>
    <w:rsid w:val="00730266"/>
    <w:rsid w:val="00731313"/>
    <w:rsid w:val="007334A5"/>
    <w:rsid w:val="00734CF5"/>
    <w:rsid w:val="007401BB"/>
    <w:rsid w:val="00741D72"/>
    <w:rsid w:val="007456D0"/>
    <w:rsid w:val="007618DB"/>
    <w:rsid w:val="0076232B"/>
    <w:rsid w:val="00765534"/>
    <w:rsid w:val="00767F5F"/>
    <w:rsid w:val="007703C1"/>
    <w:rsid w:val="007772F8"/>
    <w:rsid w:val="0078240D"/>
    <w:rsid w:val="00783B36"/>
    <w:rsid w:val="00785332"/>
    <w:rsid w:val="00785AF9"/>
    <w:rsid w:val="00786DD3"/>
    <w:rsid w:val="007912B3"/>
    <w:rsid w:val="00792014"/>
    <w:rsid w:val="00792D5B"/>
    <w:rsid w:val="007A0E1F"/>
    <w:rsid w:val="007A197C"/>
    <w:rsid w:val="007A1FB9"/>
    <w:rsid w:val="007A36E7"/>
    <w:rsid w:val="007A3702"/>
    <w:rsid w:val="007C38B5"/>
    <w:rsid w:val="007C5FB6"/>
    <w:rsid w:val="007C5FC8"/>
    <w:rsid w:val="007C6321"/>
    <w:rsid w:val="007D0714"/>
    <w:rsid w:val="007D1D75"/>
    <w:rsid w:val="007D1D93"/>
    <w:rsid w:val="007D78A8"/>
    <w:rsid w:val="00800576"/>
    <w:rsid w:val="00816792"/>
    <w:rsid w:val="008236C2"/>
    <w:rsid w:val="00823721"/>
    <w:rsid w:val="00824D13"/>
    <w:rsid w:val="00827DA3"/>
    <w:rsid w:val="00832172"/>
    <w:rsid w:val="00846DD0"/>
    <w:rsid w:val="008639CE"/>
    <w:rsid w:val="00867F60"/>
    <w:rsid w:val="00873C16"/>
    <w:rsid w:val="00883B29"/>
    <w:rsid w:val="0089196F"/>
    <w:rsid w:val="008A1545"/>
    <w:rsid w:val="008A22DB"/>
    <w:rsid w:val="008A7EA7"/>
    <w:rsid w:val="008B0DCE"/>
    <w:rsid w:val="008B3373"/>
    <w:rsid w:val="008C3039"/>
    <w:rsid w:val="008D40E0"/>
    <w:rsid w:val="008E2EBB"/>
    <w:rsid w:val="008E4995"/>
    <w:rsid w:val="008F25C5"/>
    <w:rsid w:val="008F6BBB"/>
    <w:rsid w:val="00906C1E"/>
    <w:rsid w:val="009106EF"/>
    <w:rsid w:val="00914E21"/>
    <w:rsid w:val="0092249D"/>
    <w:rsid w:val="00927B38"/>
    <w:rsid w:val="00930B71"/>
    <w:rsid w:val="00930FD0"/>
    <w:rsid w:val="009312C8"/>
    <w:rsid w:val="00942678"/>
    <w:rsid w:val="00946C53"/>
    <w:rsid w:val="0095271F"/>
    <w:rsid w:val="00954698"/>
    <w:rsid w:val="00954DD9"/>
    <w:rsid w:val="00956A5F"/>
    <w:rsid w:val="0097211E"/>
    <w:rsid w:val="0097282D"/>
    <w:rsid w:val="00972DB1"/>
    <w:rsid w:val="00973236"/>
    <w:rsid w:val="00973E54"/>
    <w:rsid w:val="00983480"/>
    <w:rsid w:val="00983C7A"/>
    <w:rsid w:val="009929E1"/>
    <w:rsid w:val="0099456F"/>
    <w:rsid w:val="009B5D59"/>
    <w:rsid w:val="009B7133"/>
    <w:rsid w:val="009C140F"/>
    <w:rsid w:val="009D0646"/>
    <w:rsid w:val="009D31DE"/>
    <w:rsid w:val="009D4741"/>
    <w:rsid w:val="009D4A24"/>
    <w:rsid w:val="009D625A"/>
    <w:rsid w:val="009D6EF5"/>
    <w:rsid w:val="009E3FBB"/>
    <w:rsid w:val="009E71C8"/>
    <w:rsid w:val="009F3AD3"/>
    <w:rsid w:val="009F4418"/>
    <w:rsid w:val="009F7423"/>
    <w:rsid w:val="00A11CB4"/>
    <w:rsid w:val="00A1237C"/>
    <w:rsid w:val="00A12D27"/>
    <w:rsid w:val="00A13836"/>
    <w:rsid w:val="00A177F3"/>
    <w:rsid w:val="00A2168D"/>
    <w:rsid w:val="00A22011"/>
    <w:rsid w:val="00A226F2"/>
    <w:rsid w:val="00A268EF"/>
    <w:rsid w:val="00A32CDC"/>
    <w:rsid w:val="00A35BCA"/>
    <w:rsid w:val="00A42E60"/>
    <w:rsid w:val="00A47A92"/>
    <w:rsid w:val="00A47C01"/>
    <w:rsid w:val="00A505FB"/>
    <w:rsid w:val="00A5471F"/>
    <w:rsid w:val="00A550B7"/>
    <w:rsid w:val="00A66F31"/>
    <w:rsid w:val="00A834A5"/>
    <w:rsid w:val="00A9319E"/>
    <w:rsid w:val="00A9457F"/>
    <w:rsid w:val="00A97027"/>
    <w:rsid w:val="00AA27E5"/>
    <w:rsid w:val="00AA6AF0"/>
    <w:rsid w:val="00AB00D3"/>
    <w:rsid w:val="00AB5CA9"/>
    <w:rsid w:val="00AB69D6"/>
    <w:rsid w:val="00AC0FA8"/>
    <w:rsid w:val="00AC1C9D"/>
    <w:rsid w:val="00AD0E4E"/>
    <w:rsid w:val="00AE6373"/>
    <w:rsid w:val="00B00975"/>
    <w:rsid w:val="00B04131"/>
    <w:rsid w:val="00B054D3"/>
    <w:rsid w:val="00B06859"/>
    <w:rsid w:val="00B124E6"/>
    <w:rsid w:val="00B14E39"/>
    <w:rsid w:val="00B205B1"/>
    <w:rsid w:val="00B2096A"/>
    <w:rsid w:val="00B20E9F"/>
    <w:rsid w:val="00B32214"/>
    <w:rsid w:val="00B32E93"/>
    <w:rsid w:val="00B41E2F"/>
    <w:rsid w:val="00B422F2"/>
    <w:rsid w:val="00B43677"/>
    <w:rsid w:val="00B52EE0"/>
    <w:rsid w:val="00B6610C"/>
    <w:rsid w:val="00B721EA"/>
    <w:rsid w:val="00B761F6"/>
    <w:rsid w:val="00B855B6"/>
    <w:rsid w:val="00B933E8"/>
    <w:rsid w:val="00B96255"/>
    <w:rsid w:val="00BA1E7A"/>
    <w:rsid w:val="00BA6DD6"/>
    <w:rsid w:val="00BB0635"/>
    <w:rsid w:val="00BB3F46"/>
    <w:rsid w:val="00BC17B5"/>
    <w:rsid w:val="00BC69CA"/>
    <w:rsid w:val="00BD12B8"/>
    <w:rsid w:val="00BD4E2B"/>
    <w:rsid w:val="00BD75CD"/>
    <w:rsid w:val="00BD7653"/>
    <w:rsid w:val="00BE1928"/>
    <w:rsid w:val="00BF20C1"/>
    <w:rsid w:val="00C00659"/>
    <w:rsid w:val="00C01DEB"/>
    <w:rsid w:val="00C04C28"/>
    <w:rsid w:val="00C14D4A"/>
    <w:rsid w:val="00C15C21"/>
    <w:rsid w:val="00C207ED"/>
    <w:rsid w:val="00C209AC"/>
    <w:rsid w:val="00C20A6E"/>
    <w:rsid w:val="00C222C3"/>
    <w:rsid w:val="00C25F28"/>
    <w:rsid w:val="00C33E19"/>
    <w:rsid w:val="00C37EF7"/>
    <w:rsid w:val="00C42236"/>
    <w:rsid w:val="00C50D9B"/>
    <w:rsid w:val="00C70922"/>
    <w:rsid w:val="00C71FCC"/>
    <w:rsid w:val="00C739D3"/>
    <w:rsid w:val="00C7526F"/>
    <w:rsid w:val="00C75DAB"/>
    <w:rsid w:val="00C76F5C"/>
    <w:rsid w:val="00C779DF"/>
    <w:rsid w:val="00C847A6"/>
    <w:rsid w:val="00C87207"/>
    <w:rsid w:val="00C872A7"/>
    <w:rsid w:val="00C87AB9"/>
    <w:rsid w:val="00C916A2"/>
    <w:rsid w:val="00C927C6"/>
    <w:rsid w:val="00C94626"/>
    <w:rsid w:val="00C95622"/>
    <w:rsid w:val="00C969B1"/>
    <w:rsid w:val="00CA00F0"/>
    <w:rsid w:val="00CA2523"/>
    <w:rsid w:val="00CB13D2"/>
    <w:rsid w:val="00CB2103"/>
    <w:rsid w:val="00CB2741"/>
    <w:rsid w:val="00CB4316"/>
    <w:rsid w:val="00CB5C78"/>
    <w:rsid w:val="00CC17A1"/>
    <w:rsid w:val="00CC554B"/>
    <w:rsid w:val="00CD4218"/>
    <w:rsid w:val="00CD6D4F"/>
    <w:rsid w:val="00CE37F5"/>
    <w:rsid w:val="00CF0B32"/>
    <w:rsid w:val="00CF410C"/>
    <w:rsid w:val="00D14812"/>
    <w:rsid w:val="00D243D1"/>
    <w:rsid w:val="00D321AE"/>
    <w:rsid w:val="00D36E46"/>
    <w:rsid w:val="00D40809"/>
    <w:rsid w:val="00D44661"/>
    <w:rsid w:val="00D500E0"/>
    <w:rsid w:val="00D50C1A"/>
    <w:rsid w:val="00D5170F"/>
    <w:rsid w:val="00D51949"/>
    <w:rsid w:val="00D53080"/>
    <w:rsid w:val="00D5525C"/>
    <w:rsid w:val="00D55D5C"/>
    <w:rsid w:val="00D56657"/>
    <w:rsid w:val="00D70395"/>
    <w:rsid w:val="00D72526"/>
    <w:rsid w:val="00D7289C"/>
    <w:rsid w:val="00DA1153"/>
    <w:rsid w:val="00DA1485"/>
    <w:rsid w:val="00DA18B9"/>
    <w:rsid w:val="00DB4FDB"/>
    <w:rsid w:val="00DB51F7"/>
    <w:rsid w:val="00DB59E4"/>
    <w:rsid w:val="00DC7A89"/>
    <w:rsid w:val="00DD0F4E"/>
    <w:rsid w:val="00DD22E9"/>
    <w:rsid w:val="00DD2C66"/>
    <w:rsid w:val="00DD3942"/>
    <w:rsid w:val="00DD3B34"/>
    <w:rsid w:val="00DE1C5A"/>
    <w:rsid w:val="00DE4BD9"/>
    <w:rsid w:val="00DE7491"/>
    <w:rsid w:val="00DF0A55"/>
    <w:rsid w:val="00DF144B"/>
    <w:rsid w:val="00E05EF5"/>
    <w:rsid w:val="00E068D1"/>
    <w:rsid w:val="00E12400"/>
    <w:rsid w:val="00E23776"/>
    <w:rsid w:val="00E25357"/>
    <w:rsid w:val="00E25360"/>
    <w:rsid w:val="00E31A77"/>
    <w:rsid w:val="00E32426"/>
    <w:rsid w:val="00E33182"/>
    <w:rsid w:val="00E33ADB"/>
    <w:rsid w:val="00E5385D"/>
    <w:rsid w:val="00E55D5C"/>
    <w:rsid w:val="00E61AF8"/>
    <w:rsid w:val="00E61FB3"/>
    <w:rsid w:val="00E73984"/>
    <w:rsid w:val="00E749BD"/>
    <w:rsid w:val="00E77AA1"/>
    <w:rsid w:val="00E87108"/>
    <w:rsid w:val="00E92B5E"/>
    <w:rsid w:val="00E97437"/>
    <w:rsid w:val="00EA04C5"/>
    <w:rsid w:val="00EA49DE"/>
    <w:rsid w:val="00EA7860"/>
    <w:rsid w:val="00EB314E"/>
    <w:rsid w:val="00EB5598"/>
    <w:rsid w:val="00EB62E4"/>
    <w:rsid w:val="00EC089B"/>
    <w:rsid w:val="00EC4E4A"/>
    <w:rsid w:val="00EC5FC1"/>
    <w:rsid w:val="00ED00A7"/>
    <w:rsid w:val="00ED08C7"/>
    <w:rsid w:val="00ED5BD3"/>
    <w:rsid w:val="00ED7FD2"/>
    <w:rsid w:val="00EE56B0"/>
    <w:rsid w:val="00EF1D9F"/>
    <w:rsid w:val="00EF54A7"/>
    <w:rsid w:val="00EF6F9F"/>
    <w:rsid w:val="00F045D3"/>
    <w:rsid w:val="00F0789D"/>
    <w:rsid w:val="00F116C1"/>
    <w:rsid w:val="00F12D6C"/>
    <w:rsid w:val="00F13CCE"/>
    <w:rsid w:val="00F14165"/>
    <w:rsid w:val="00F15742"/>
    <w:rsid w:val="00F15BB0"/>
    <w:rsid w:val="00F27AC0"/>
    <w:rsid w:val="00F32CE3"/>
    <w:rsid w:val="00F34BA3"/>
    <w:rsid w:val="00F53FDC"/>
    <w:rsid w:val="00F619ED"/>
    <w:rsid w:val="00F61BEA"/>
    <w:rsid w:val="00F62848"/>
    <w:rsid w:val="00F638B9"/>
    <w:rsid w:val="00F646EA"/>
    <w:rsid w:val="00F64EE7"/>
    <w:rsid w:val="00F6655F"/>
    <w:rsid w:val="00F70476"/>
    <w:rsid w:val="00F72E74"/>
    <w:rsid w:val="00F735BB"/>
    <w:rsid w:val="00F809AC"/>
    <w:rsid w:val="00F81380"/>
    <w:rsid w:val="00FA02E9"/>
    <w:rsid w:val="00FA6340"/>
    <w:rsid w:val="00FB114D"/>
    <w:rsid w:val="00FB6B1B"/>
    <w:rsid w:val="00FB6F29"/>
    <w:rsid w:val="00FB7628"/>
    <w:rsid w:val="00FC6472"/>
    <w:rsid w:val="00FD1BB6"/>
    <w:rsid w:val="00FD590D"/>
    <w:rsid w:val="00FE2964"/>
    <w:rsid w:val="00FF038F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243BE-8F93-492D-8940-7665DC2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64F0F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A1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F0B0-6195-4F7B-B19E-91821FB6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2215</TotalTime>
  <Pages>7</Pages>
  <Words>1359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459</cp:revision>
  <cp:lastPrinted>2018-07-17T12:15:00Z</cp:lastPrinted>
  <dcterms:created xsi:type="dcterms:W3CDTF">2018-02-02T16:02:00Z</dcterms:created>
  <dcterms:modified xsi:type="dcterms:W3CDTF">2019-12-20T12:23:00Z</dcterms:modified>
</cp:coreProperties>
</file>