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4596" w:rsidRPr="0060399E" w:rsidTr="005B7703">
        <w:tc>
          <w:tcPr>
            <w:tcW w:w="9072" w:type="dxa"/>
            <w:shd w:val="clear" w:color="auto" w:fill="auto"/>
          </w:tcPr>
          <w:p w:rsidR="00454596" w:rsidRPr="0060399E" w:rsidRDefault="00454596" w:rsidP="00BD1D0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NORMA DE PROCEDIMENTO – SCL Nº 0</w:t>
            </w:r>
            <w:r w:rsidR="00BD1D04" w:rsidRPr="0060399E">
              <w:rPr>
                <w:rFonts w:cs="Arial"/>
                <w:b/>
                <w:bCs/>
                <w:szCs w:val="24"/>
              </w:rPr>
              <w:t>16</w:t>
            </w:r>
          </w:p>
        </w:tc>
      </w:tr>
    </w:tbl>
    <w:p w:rsidR="00454596" w:rsidRPr="0060399E" w:rsidRDefault="00454596" w:rsidP="003C3C4B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81"/>
        <w:gridCol w:w="2806"/>
      </w:tblGrid>
      <w:tr w:rsidR="0060399E" w:rsidRPr="0060399E" w:rsidTr="005B7703">
        <w:tc>
          <w:tcPr>
            <w:tcW w:w="1418" w:type="dxa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60399E" w:rsidRDefault="00121FDE" w:rsidP="005B465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Cs/>
                <w:szCs w:val="24"/>
              </w:rPr>
              <w:t>Adesão</w:t>
            </w:r>
            <w:r w:rsidR="00454596" w:rsidRPr="0060399E">
              <w:rPr>
                <w:rFonts w:cs="Arial"/>
                <w:bCs/>
                <w:szCs w:val="24"/>
              </w:rPr>
              <w:t xml:space="preserve"> </w:t>
            </w:r>
            <w:r w:rsidRPr="0060399E">
              <w:rPr>
                <w:rFonts w:cs="Arial"/>
                <w:bCs/>
                <w:szCs w:val="24"/>
              </w:rPr>
              <w:t>a</w:t>
            </w:r>
            <w:r w:rsidR="00454596" w:rsidRPr="0060399E">
              <w:rPr>
                <w:rFonts w:cs="Arial"/>
                <w:bCs/>
                <w:szCs w:val="24"/>
              </w:rPr>
              <w:t xml:space="preserve"> Ata de Registro de Preços</w:t>
            </w:r>
            <w:r w:rsidR="00F252CB" w:rsidRPr="0060399E">
              <w:rPr>
                <w:rFonts w:cs="Arial"/>
                <w:bCs/>
                <w:szCs w:val="24"/>
              </w:rPr>
              <w:t xml:space="preserve"> de outros Poderes, Estados, Distrito Federal ou União</w:t>
            </w:r>
          </w:p>
        </w:tc>
      </w:tr>
      <w:tr w:rsidR="0060399E" w:rsidRPr="0060399E" w:rsidTr="005B7703">
        <w:tc>
          <w:tcPr>
            <w:tcW w:w="1418" w:type="dxa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60399E" w:rsidRPr="0060399E" w:rsidTr="005B7703">
        <w:tc>
          <w:tcPr>
            <w:tcW w:w="1418" w:type="dxa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Cs/>
                <w:szCs w:val="24"/>
              </w:rPr>
              <w:t xml:space="preserve">Sistema de Compras, Licitações e Contratos </w:t>
            </w:r>
          </w:p>
        </w:tc>
        <w:tc>
          <w:tcPr>
            <w:tcW w:w="2806" w:type="dxa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 xml:space="preserve">Código: </w:t>
            </w:r>
            <w:r w:rsidRPr="0060399E">
              <w:rPr>
                <w:rFonts w:cs="Arial"/>
                <w:bCs/>
                <w:szCs w:val="24"/>
              </w:rPr>
              <w:t>SCL</w:t>
            </w:r>
          </w:p>
        </w:tc>
      </w:tr>
      <w:tr w:rsidR="0060399E" w:rsidRPr="0060399E" w:rsidTr="005B7703">
        <w:tc>
          <w:tcPr>
            <w:tcW w:w="1418" w:type="dxa"/>
            <w:vAlign w:val="center"/>
          </w:tcPr>
          <w:p w:rsidR="00454596" w:rsidRPr="0060399E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454596" w:rsidRPr="0060399E" w:rsidRDefault="00454596" w:rsidP="0096666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Cs/>
                <w:szCs w:val="24"/>
              </w:rPr>
              <w:t>0</w:t>
            </w:r>
            <w:r w:rsidR="0096666B" w:rsidRPr="0060399E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454596" w:rsidRPr="0060399E" w:rsidRDefault="00454596" w:rsidP="005B4AA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60399E">
              <w:rPr>
                <w:rFonts w:cs="Arial"/>
                <w:bCs/>
                <w:szCs w:val="24"/>
              </w:rPr>
              <w:t>Portaria n.º</w:t>
            </w:r>
            <w:r w:rsidR="005B4AA8">
              <w:rPr>
                <w:rFonts w:cs="Arial"/>
                <w:bCs/>
                <w:szCs w:val="24"/>
              </w:rPr>
              <w:t xml:space="preserve"> 36</w:t>
            </w:r>
            <w:r w:rsidRPr="0060399E">
              <w:rPr>
                <w:rFonts w:cs="Arial"/>
                <w:bCs/>
                <w:szCs w:val="24"/>
              </w:rPr>
              <w:t>-</w:t>
            </w:r>
            <w:r w:rsidR="0096666B" w:rsidRPr="0060399E">
              <w:rPr>
                <w:rFonts w:cs="Arial"/>
                <w:bCs/>
                <w:szCs w:val="24"/>
              </w:rPr>
              <w:t>R/2019</w:t>
            </w:r>
          </w:p>
        </w:tc>
        <w:tc>
          <w:tcPr>
            <w:tcW w:w="2806" w:type="dxa"/>
            <w:vAlign w:val="center"/>
          </w:tcPr>
          <w:p w:rsidR="00454596" w:rsidRPr="0060399E" w:rsidRDefault="00454596" w:rsidP="005B4AA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60399E">
              <w:rPr>
                <w:rFonts w:cs="Arial"/>
                <w:b/>
                <w:bCs/>
                <w:szCs w:val="24"/>
              </w:rPr>
              <w:t>Vigência:</w:t>
            </w:r>
            <w:r w:rsidRPr="0060399E">
              <w:rPr>
                <w:rFonts w:cs="Arial"/>
                <w:bCs/>
                <w:szCs w:val="24"/>
              </w:rPr>
              <w:t xml:space="preserve"> </w:t>
            </w:r>
            <w:r w:rsidR="005B4AA8">
              <w:rPr>
                <w:rFonts w:cs="Arial"/>
                <w:bCs/>
                <w:szCs w:val="24"/>
              </w:rPr>
              <w:t>20</w:t>
            </w:r>
            <w:r w:rsidR="0096666B" w:rsidRPr="0060399E">
              <w:rPr>
                <w:rFonts w:cs="Arial"/>
                <w:bCs/>
                <w:szCs w:val="24"/>
              </w:rPr>
              <w:t>/</w:t>
            </w:r>
            <w:r w:rsidR="005B4AA8">
              <w:rPr>
                <w:rFonts w:cs="Arial"/>
                <w:bCs/>
                <w:szCs w:val="24"/>
              </w:rPr>
              <w:t>12</w:t>
            </w:r>
            <w:r w:rsidRPr="0060399E">
              <w:rPr>
                <w:rFonts w:cs="Arial"/>
                <w:bCs/>
                <w:szCs w:val="24"/>
              </w:rPr>
              <w:t>/201</w:t>
            </w:r>
            <w:r w:rsidR="0096666B" w:rsidRPr="0060399E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60399E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OBJETIVOS</w:t>
      </w:r>
    </w:p>
    <w:p w:rsidR="00B6610C" w:rsidRPr="0060399E" w:rsidRDefault="00DF144B" w:rsidP="003C3C4B">
      <w:pPr>
        <w:pStyle w:val="Ttulo1"/>
        <w:widowControl w:val="0"/>
        <w:numPr>
          <w:ilvl w:val="0"/>
          <w:numId w:val="3"/>
        </w:numPr>
        <w:spacing w:before="240"/>
        <w:ind w:left="567" w:hanging="567"/>
        <w:rPr>
          <w:b w:val="0"/>
        </w:rPr>
      </w:pPr>
      <w:r w:rsidRPr="0060399E">
        <w:rPr>
          <w:b w:val="0"/>
        </w:rPr>
        <w:t>Padronizar o</w:t>
      </w:r>
      <w:r w:rsidR="00111856" w:rsidRPr="0060399E">
        <w:rPr>
          <w:b w:val="0"/>
        </w:rPr>
        <w:t xml:space="preserve"> processo</w:t>
      </w:r>
      <w:r w:rsidRPr="0060399E">
        <w:rPr>
          <w:b w:val="0"/>
        </w:rPr>
        <w:t xml:space="preserve"> de </w:t>
      </w:r>
      <w:r w:rsidR="00260F5A" w:rsidRPr="0060399E">
        <w:rPr>
          <w:b w:val="0"/>
        </w:rPr>
        <w:t>adesão</w:t>
      </w:r>
      <w:r w:rsidR="00823721" w:rsidRPr="0060399E">
        <w:rPr>
          <w:b w:val="0"/>
        </w:rPr>
        <w:t xml:space="preserve"> </w:t>
      </w:r>
      <w:r w:rsidR="007C07A4" w:rsidRPr="0060399E">
        <w:rPr>
          <w:b w:val="0"/>
        </w:rPr>
        <w:t>a</w:t>
      </w:r>
      <w:r w:rsidR="00823721" w:rsidRPr="0060399E">
        <w:rPr>
          <w:b w:val="0"/>
        </w:rPr>
        <w:t xml:space="preserve"> </w:t>
      </w:r>
      <w:r w:rsidR="00111856" w:rsidRPr="0060399E">
        <w:rPr>
          <w:b w:val="0"/>
        </w:rPr>
        <w:t>Ata</w:t>
      </w:r>
      <w:r w:rsidR="00823721" w:rsidRPr="0060399E">
        <w:rPr>
          <w:b w:val="0"/>
        </w:rPr>
        <w:t xml:space="preserve"> de </w:t>
      </w:r>
      <w:r w:rsidR="00111856" w:rsidRPr="0060399E">
        <w:rPr>
          <w:b w:val="0"/>
        </w:rPr>
        <w:t>R</w:t>
      </w:r>
      <w:r w:rsidR="00823721" w:rsidRPr="0060399E">
        <w:rPr>
          <w:b w:val="0"/>
        </w:rPr>
        <w:t xml:space="preserve">egistro de </w:t>
      </w:r>
      <w:r w:rsidR="00111856" w:rsidRPr="0060399E">
        <w:rPr>
          <w:b w:val="0"/>
        </w:rPr>
        <w:t>P</w:t>
      </w:r>
      <w:r w:rsidR="00823721" w:rsidRPr="0060399E">
        <w:rPr>
          <w:b w:val="0"/>
        </w:rPr>
        <w:t>reços</w:t>
      </w:r>
      <w:r w:rsidR="00260F5A" w:rsidRPr="0060399E">
        <w:rPr>
          <w:b w:val="0"/>
        </w:rPr>
        <w:t xml:space="preserve"> </w:t>
      </w:r>
      <w:r w:rsidR="00C00A3F" w:rsidRPr="0060399E">
        <w:rPr>
          <w:b w:val="0"/>
        </w:rPr>
        <w:t xml:space="preserve">quando o </w:t>
      </w:r>
      <w:r w:rsidR="005C050D" w:rsidRPr="0060399E">
        <w:rPr>
          <w:b w:val="0"/>
        </w:rPr>
        <w:t>Gerenciador</w:t>
      </w:r>
      <w:r w:rsidR="00C00A3F" w:rsidRPr="0060399E">
        <w:rPr>
          <w:b w:val="0"/>
        </w:rPr>
        <w:t xml:space="preserve"> for órgão </w:t>
      </w:r>
      <w:r w:rsidR="007E205E" w:rsidRPr="0060399E">
        <w:rPr>
          <w:b w:val="0"/>
        </w:rPr>
        <w:t>ou</w:t>
      </w:r>
      <w:r w:rsidR="00C00A3F" w:rsidRPr="0060399E">
        <w:rPr>
          <w:b w:val="0"/>
        </w:rPr>
        <w:t xml:space="preserve"> entidade d</w:t>
      </w:r>
      <w:r w:rsidR="007E205E" w:rsidRPr="0060399E">
        <w:rPr>
          <w:b w:val="0"/>
        </w:rPr>
        <w:t>e outros Poderes, Estados, Distrito Federal ou União.</w:t>
      </w:r>
    </w:p>
    <w:p w:rsidR="004B576D" w:rsidRPr="0060399E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ABRANGÊNCIA</w:t>
      </w:r>
    </w:p>
    <w:p w:rsidR="00B6610C" w:rsidRPr="0060399E" w:rsidRDefault="00DF144B" w:rsidP="003C3C4B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60399E">
        <w:rPr>
          <w:b w:val="0"/>
        </w:rPr>
        <w:t>Órgãos da Administração Direta e entidades da Administração Indireta do Poder Executivo Estadual, exceto as em</w:t>
      </w:r>
      <w:r w:rsidR="00A13836" w:rsidRPr="0060399E">
        <w:rPr>
          <w:b w:val="0"/>
        </w:rPr>
        <w:t>presas públicas e as sociedades de</w:t>
      </w:r>
      <w:r w:rsidRPr="0060399E">
        <w:rPr>
          <w:b w:val="0"/>
        </w:rPr>
        <w:t xml:space="preserve"> economia mista</w:t>
      </w:r>
      <w:r w:rsidR="00B6610C" w:rsidRPr="0060399E">
        <w:rPr>
          <w:b w:val="0"/>
        </w:rPr>
        <w:t>.</w:t>
      </w:r>
    </w:p>
    <w:p w:rsidR="004B576D" w:rsidRPr="0060399E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FUNDAMENTAÇÃO LEGAL</w:t>
      </w:r>
    </w:p>
    <w:p w:rsidR="004B576D" w:rsidRPr="0060399E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60399E">
        <w:rPr>
          <w:b/>
        </w:rPr>
        <w:t>L</w:t>
      </w:r>
      <w:r w:rsidR="00A13836" w:rsidRPr="0060399E">
        <w:rPr>
          <w:b/>
        </w:rPr>
        <w:t xml:space="preserve">ei Federal </w:t>
      </w:r>
      <w:r w:rsidR="00D55D5C" w:rsidRPr="0060399E">
        <w:rPr>
          <w:b/>
        </w:rPr>
        <w:t>n.º</w:t>
      </w:r>
      <w:r w:rsidR="00A13836" w:rsidRPr="0060399E">
        <w:rPr>
          <w:b/>
        </w:rPr>
        <w:t xml:space="preserve"> 8.666</w:t>
      </w:r>
      <w:r w:rsidR="00A13836" w:rsidRPr="0060399E">
        <w:t xml:space="preserve">, de 21/06/1993 </w:t>
      </w:r>
      <w:r w:rsidR="001C28DE" w:rsidRPr="0060399E">
        <w:t xml:space="preserve">– </w:t>
      </w:r>
      <w:r w:rsidRPr="0060399E">
        <w:t>Regulamenta o art. 37, inciso XXI, da Constituição Federal e institui normas para licitações e con</w:t>
      </w:r>
      <w:r w:rsidR="00B4091D" w:rsidRPr="0060399E">
        <w:t>tratos da Administração Pública.</w:t>
      </w:r>
    </w:p>
    <w:p w:rsidR="00E93C4B" w:rsidRPr="0060399E" w:rsidRDefault="00E93C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60399E">
        <w:rPr>
          <w:b/>
        </w:rPr>
        <w:t>Lei Complementar Estadual n.º 381</w:t>
      </w:r>
      <w:r w:rsidRPr="0060399E">
        <w:t xml:space="preserve">, de 28/02/2007 </w:t>
      </w:r>
      <w:r w:rsidR="00CA4BCA" w:rsidRPr="0060399E">
        <w:t>–</w:t>
      </w:r>
      <w:r w:rsidRPr="0060399E">
        <w:t xml:space="preserve"> Cria o Instituto de Obras Públicas</w:t>
      </w:r>
      <w:r w:rsidR="00467ECA" w:rsidRPr="0060399E">
        <w:t xml:space="preserve"> do Estado do Espírito Santo – </w:t>
      </w:r>
      <w:r w:rsidR="00DA5375" w:rsidRPr="0060399E">
        <w:t>I</w:t>
      </w:r>
      <w:r w:rsidR="00B4091D" w:rsidRPr="0060399E">
        <w:t>OPES e dá outras providências.</w:t>
      </w:r>
    </w:p>
    <w:p w:rsidR="001C1DAC" w:rsidRPr="0060399E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60399E">
        <w:rPr>
          <w:b/>
        </w:rPr>
        <w:t xml:space="preserve">Decreto Estadual </w:t>
      </w:r>
      <w:r w:rsidR="00D55D5C" w:rsidRPr="0060399E">
        <w:rPr>
          <w:b/>
        </w:rPr>
        <w:t>n.º</w:t>
      </w:r>
      <w:r w:rsidR="00B00975" w:rsidRPr="0060399E">
        <w:rPr>
          <w:b/>
        </w:rPr>
        <w:t xml:space="preserve"> </w:t>
      </w:r>
      <w:r w:rsidR="00603B67" w:rsidRPr="0060399E">
        <w:rPr>
          <w:b/>
        </w:rPr>
        <w:t>1.790</w:t>
      </w:r>
      <w:r w:rsidRPr="0060399E">
        <w:rPr>
          <w:b/>
        </w:rPr>
        <w:t>-R</w:t>
      </w:r>
      <w:r w:rsidR="00C739D3" w:rsidRPr="0060399E">
        <w:t>,</w:t>
      </w:r>
      <w:r w:rsidR="001B7EC2" w:rsidRPr="0060399E">
        <w:t xml:space="preserve"> de</w:t>
      </w:r>
      <w:r w:rsidR="00C739D3" w:rsidRPr="0060399E">
        <w:t xml:space="preserve"> </w:t>
      </w:r>
      <w:r w:rsidR="001B7EC2" w:rsidRPr="0060399E">
        <w:t>24</w:t>
      </w:r>
      <w:r w:rsidR="00A10E3E" w:rsidRPr="0060399E">
        <w:t xml:space="preserve">/01/2007 </w:t>
      </w:r>
      <w:r w:rsidR="00B00975" w:rsidRPr="0060399E">
        <w:t xml:space="preserve">– </w:t>
      </w:r>
      <w:r w:rsidR="001B7EC2" w:rsidRPr="0060399E">
        <w:t>Regulamenta o Sistema de Registro de Preços, previsto no art. 15, inciso II, da Lei Federal n.º 8.666, de 21/06/1993, no âmbito da Administração Pública Estadual</w:t>
      </w:r>
      <w:r w:rsidR="00B4091D" w:rsidRPr="0060399E">
        <w:t>.</w:t>
      </w:r>
    </w:p>
    <w:p w:rsidR="00E93C4B" w:rsidRPr="0060399E" w:rsidRDefault="00E93C4B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60399E">
        <w:rPr>
          <w:b/>
        </w:rPr>
        <w:t>Decreto Estadual n.º 3.608-R</w:t>
      </w:r>
      <w:r w:rsidRPr="0060399E">
        <w:t xml:space="preserve">, de 09/07/2014 – Dispõe sobre o Sistema de Preços Referenciais do Governo do Estado, com vistas a referenciar as compras governamentais no âmbito da </w:t>
      </w:r>
      <w:r w:rsidR="00B4091D" w:rsidRPr="0060399E">
        <w:t>Administração Direta e Indireta.</w:t>
      </w:r>
    </w:p>
    <w:p w:rsidR="009678B0" w:rsidRPr="0060399E" w:rsidRDefault="009678B0" w:rsidP="009678B0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60399E">
        <w:rPr>
          <w:b/>
        </w:rPr>
        <w:t xml:space="preserve">Portaria </w:t>
      </w:r>
      <w:proofErr w:type="gramStart"/>
      <w:r w:rsidRPr="0060399E">
        <w:rPr>
          <w:b/>
        </w:rPr>
        <w:t>AGE(</w:t>
      </w:r>
      <w:proofErr w:type="gramEnd"/>
      <w:r w:rsidRPr="0060399E">
        <w:rPr>
          <w:b/>
        </w:rPr>
        <w:t>SECONT)/SEGER n.º 01-R</w:t>
      </w:r>
      <w:r w:rsidRPr="0060399E">
        <w:t>, de 23/04/2007 – Estabelece os procedimentos a serem adotados, no âmbito da Administração Pública Estadual, para contratação de serviços e aquisição de bens a serem efetuadas por meio de ades</w:t>
      </w:r>
      <w:r w:rsidR="00B4091D" w:rsidRPr="0060399E">
        <w:t>ão a Atas de Registro de Preços.</w:t>
      </w:r>
    </w:p>
    <w:p w:rsidR="00436BBD" w:rsidRPr="0060399E" w:rsidRDefault="00436BBD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60399E">
        <w:rPr>
          <w:b/>
        </w:rPr>
        <w:t>Instrução Normativa n.º 015</w:t>
      </w:r>
      <w:r w:rsidRPr="0060399E">
        <w:t xml:space="preserve">, de 23/06/2009 do Tribunal de Contas do Espírito Santo </w:t>
      </w:r>
      <w:r w:rsidR="00467ECA" w:rsidRPr="0060399E">
        <w:t>–</w:t>
      </w:r>
      <w:r w:rsidRPr="0060399E">
        <w:t xml:space="preserve"> Disciplina a metodologia para análise dos preços das</w:t>
      </w:r>
      <w:r w:rsidR="00B4091D" w:rsidRPr="0060399E">
        <w:t xml:space="preserve"> obras e serviços de engenharia.</w:t>
      </w:r>
    </w:p>
    <w:p w:rsidR="007379BD" w:rsidRPr="0060399E" w:rsidRDefault="007379BD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b/>
        </w:rPr>
      </w:pPr>
      <w:r w:rsidRPr="0060399E">
        <w:rPr>
          <w:b/>
        </w:rPr>
        <w:t>Resolução CONCECT nº. 001/2015</w:t>
      </w:r>
      <w:r w:rsidRPr="0060399E">
        <w:t xml:space="preserve">, de 25/03/2015 - Dispõe sobre os entendimentos do Conselho do Controle e da Transparência - CONCECT em relação à possibilidade de parcelamento de aquisição por parte de órgão não participe, também denominado “carona”, em adesão à Ata de Registro de </w:t>
      </w:r>
      <w:r w:rsidRPr="0060399E">
        <w:lastRenderedPageBreak/>
        <w:t>Preço</w:t>
      </w:r>
      <w:r w:rsidR="000F4BAE" w:rsidRPr="0060399E">
        <w:t>s</w:t>
      </w:r>
      <w:r w:rsidR="00005C35" w:rsidRPr="0060399E">
        <w:t>;</w:t>
      </w:r>
    </w:p>
    <w:p w:rsidR="009678B0" w:rsidRPr="0060399E" w:rsidRDefault="009678B0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60399E">
        <w:rPr>
          <w:b/>
        </w:rPr>
        <w:t>Resolução CONSECT n.º 009/2018</w:t>
      </w:r>
      <w:r w:rsidRPr="0060399E">
        <w:t>, de 12/07/2018 – Regulamenta o artigo 6º, inciso XX da LC 856/2017, acerca dos critérios e requisitos para o envio de processos à SECONT.</w:t>
      </w:r>
    </w:p>
    <w:p w:rsidR="00084082" w:rsidRPr="0060399E" w:rsidRDefault="00084082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60399E">
        <w:rPr>
          <w:b/>
        </w:rPr>
        <w:t>Enunciado CPGE n.º 36</w:t>
      </w:r>
      <w:r w:rsidRPr="0060399E">
        <w:t xml:space="preserve"> – </w:t>
      </w:r>
      <w:r w:rsidRPr="0060399E">
        <w:rPr>
          <w:bCs/>
        </w:rPr>
        <w:t>Requisitos para os órgãos e entidades que integram a Administração Pública Estadual Direta e Indireta aderirem às Atas de Registros de Preços de órgãos ou entidades de outros Estados, do Distrito Federal e da União.</w:t>
      </w:r>
      <w:r w:rsidRPr="0060399E">
        <w:t xml:space="preserve"> </w:t>
      </w:r>
    </w:p>
    <w:p w:rsidR="007D1D75" w:rsidRPr="0060399E" w:rsidRDefault="00B6610C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D</w:t>
      </w:r>
      <w:r w:rsidR="00F15742" w:rsidRPr="0060399E">
        <w:t>EFINIÇÕES</w:t>
      </w:r>
    </w:p>
    <w:p w:rsidR="00FE2964" w:rsidRPr="0060399E" w:rsidRDefault="00B70E1E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>Sistema de Registro de Preços (</w:t>
      </w:r>
      <w:r w:rsidR="00FE2964" w:rsidRPr="0060399E">
        <w:t>SRP</w:t>
      </w:r>
      <w:r w:rsidRPr="0060399E">
        <w:t>)</w:t>
      </w:r>
      <w:r w:rsidR="00FE2964" w:rsidRPr="0060399E">
        <w:t xml:space="preserve"> –</w:t>
      </w:r>
      <w:r w:rsidR="00FE2964" w:rsidRPr="0060399E">
        <w:rPr>
          <w:b w:val="0"/>
        </w:rPr>
        <w:t xml:space="preserve"> Conjunto de procedimentos para registro formal de preços relativos à prestação de serviços e aquisição de bens, para contratações futuras</w:t>
      </w:r>
      <w:r w:rsidR="000733FA" w:rsidRPr="0060399E">
        <w:rPr>
          <w:b w:val="0"/>
        </w:rPr>
        <w:t>.</w:t>
      </w:r>
    </w:p>
    <w:p w:rsidR="00FE2964" w:rsidRPr="0060399E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Ata de Registro de Preços </w:t>
      </w:r>
      <w:r w:rsidR="007A05B0" w:rsidRPr="0060399E">
        <w:t xml:space="preserve">(ARP) </w:t>
      </w:r>
      <w:r w:rsidRPr="0060399E">
        <w:t>–</w:t>
      </w:r>
      <w:r w:rsidRPr="0060399E">
        <w:rPr>
          <w:b w:val="0"/>
        </w:rPr>
        <w:t xml:space="preserve"> Documento vinculativo, obrigacional, com característica de compromisso para futura contratação, no qual se registram os preços, fornecedores, órgãos participantes e condições a serem praticadas, conforme as disposições contidas no instrumento convocatório e propostas apresentadas</w:t>
      </w:r>
      <w:r w:rsidR="000733FA" w:rsidRPr="0060399E">
        <w:rPr>
          <w:b w:val="0"/>
        </w:rPr>
        <w:t>.</w:t>
      </w:r>
    </w:p>
    <w:p w:rsidR="00DD40AD" w:rsidRPr="0060399E" w:rsidRDefault="00FE2964" w:rsidP="00DD40AD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>Órgão Gerenciador –</w:t>
      </w:r>
      <w:r w:rsidRPr="0060399E">
        <w:rPr>
          <w:b w:val="0"/>
        </w:rPr>
        <w:t xml:space="preserve"> Órgão ou entidade da Administração Pública responsável pela condução do conjunto de procedimentos do certame para registro de preços e gerenciamento da Ata de Registro de Preços dele decorrente</w:t>
      </w:r>
      <w:r w:rsidR="000733FA" w:rsidRPr="0060399E">
        <w:rPr>
          <w:b w:val="0"/>
        </w:rPr>
        <w:t>.</w:t>
      </w:r>
    </w:p>
    <w:p w:rsidR="00DD40AD" w:rsidRPr="0060399E" w:rsidRDefault="00DD40AD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Órgão Participante – </w:t>
      </w:r>
      <w:r w:rsidRPr="0060399E">
        <w:rPr>
          <w:b w:val="0"/>
        </w:rPr>
        <w:t>Órgão ou entidade que participa dos procedimentos iniciais do SRP e integra a Ata de Registro de Preços</w:t>
      </w:r>
      <w:r w:rsidR="000733FA" w:rsidRPr="0060399E">
        <w:rPr>
          <w:b w:val="0"/>
        </w:rPr>
        <w:t>.</w:t>
      </w:r>
    </w:p>
    <w:p w:rsidR="00FE2964" w:rsidRPr="0060399E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Órgão </w:t>
      </w:r>
      <w:r w:rsidR="00213488" w:rsidRPr="0060399E">
        <w:t xml:space="preserve">Não </w:t>
      </w:r>
      <w:r w:rsidRPr="0060399E">
        <w:t>Participante</w:t>
      </w:r>
      <w:r w:rsidR="00797704" w:rsidRPr="0060399E">
        <w:t xml:space="preserve"> – </w:t>
      </w:r>
      <w:r w:rsidR="00213488" w:rsidRPr="0060399E">
        <w:rPr>
          <w:b w:val="0"/>
        </w:rPr>
        <w:t>Órgão ou entidade que não participou dos procedimentos iniciais do SRP, não integrando a Ata de Registro de Preços, mas que poderá utilizá-la para aquisição de bens ou contratação de serviços, mediante adesão, após autorização d</w:t>
      </w:r>
      <w:r w:rsidR="00CF763A" w:rsidRPr="0060399E">
        <w:rPr>
          <w:b w:val="0"/>
        </w:rPr>
        <w:t>o</w:t>
      </w:r>
      <w:r w:rsidR="00213488" w:rsidRPr="0060399E">
        <w:rPr>
          <w:b w:val="0"/>
        </w:rPr>
        <w:t xml:space="preserve"> </w:t>
      </w:r>
      <w:r w:rsidR="00D50F7D" w:rsidRPr="0060399E">
        <w:rPr>
          <w:b w:val="0"/>
        </w:rPr>
        <w:t>Ó</w:t>
      </w:r>
      <w:r w:rsidR="00213488" w:rsidRPr="0060399E">
        <w:rPr>
          <w:b w:val="0"/>
        </w:rPr>
        <w:t xml:space="preserve">rgão </w:t>
      </w:r>
      <w:r w:rsidR="00D50F7D" w:rsidRPr="0060399E">
        <w:rPr>
          <w:b w:val="0"/>
        </w:rPr>
        <w:t>G</w:t>
      </w:r>
      <w:r w:rsidR="00213488" w:rsidRPr="0060399E">
        <w:rPr>
          <w:b w:val="0"/>
        </w:rPr>
        <w:t>erenciado</w:t>
      </w:r>
      <w:r w:rsidR="00D50F7D" w:rsidRPr="0060399E">
        <w:rPr>
          <w:b w:val="0"/>
        </w:rPr>
        <w:t>r</w:t>
      </w:r>
      <w:r w:rsidR="000733FA" w:rsidRPr="0060399E">
        <w:rPr>
          <w:b w:val="0"/>
        </w:rPr>
        <w:t>.</w:t>
      </w:r>
    </w:p>
    <w:p w:rsidR="007D1D75" w:rsidRPr="0060399E" w:rsidRDefault="00CC554B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Setor Requisitante </w:t>
      </w:r>
      <w:r w:rsidR="009929E1" w:rsidRPr="0060399E">
        <w:t>–</w:t>
      </w:r>
      <w:r w:rsidR="007D1D75" w:rsidRPr="0060399E">
        <w:t xml:space="preserve"> </w:t>
      </w:r>
      <w:r w:rsidR="00F15742" w:rsidRPr="0060399E">
        <w:rPr>
          <w:b w:val="0"/>
        </w:rPr>
        <w:t>Responsável</w:t>
      </w:r>
      <w:r w:rsidR="00703F8E" w:rsidRPr="0060399E">
        <w:rPr>
          <w:b w:val="0"/>
        </w:rPr>
        <w:t xml:space="preserve"> do Órgão Não Participante</w:t>
      </w:r>
      <w:r w:rsidR="00F15742" w:rsidRPr="0060399E">
        <w:rPr>
          <w:b w:val="0"/>
        </w:rPr>
        <w:t xml:space="preserve"> por identificar a demanda por bens e serviços</w:t>
      </w:r>
      <w:r w:rsidR="00F90227" w:rsidRPr="0060399E">
        <w:rPr>
          <w:b w:val="0"/>
        </w:rPr>
        <w:t xml:space="preserve"> e instruir o processo de utilizaç</w:t>
      </w:r>
      <w:r w:rsidR="000733FA" w:rsidRPr="0060399E">
        <w:rPr>
          <w:b w:val="0"/>
        </w:rPr>
        <w:t>ão da Ata de Registro de Preços.</w:t>
      </w:r>
    </w:p>
    <w:p w:rsidR="007D1D75" w:rsidRPr="0060399E" w:rsidRDefault="00393887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>Ordenador/</w:t>
      </w:r>
      <w:r w:rsidR="006841EC" w:rsidRPr="0060399E">
        <w:t>Autoridade Compete</w:t>
      </w:r>
      <w:r w:rsidRPr="0060399E">
        <w:t>nte</w:t>
      </w:r>
      <w:r w:rsidR="00CC554B" w:rsidRPr="0060399E">
        <w:t xml:space="preserve"> </w:t>
      </w:r>
      <w:r w:rsidR="009929E1" w:rsidRPr="0060399E">
        <w:t>–</w:t>
      </w:r>
      <w:r w:rsidR="007D1D75" w:rsidRPr="0060399E">
        <w:t xml:space="preserve"> </w:t>
      </w:r>
      <w:r w:rsidR="00F15742" w:rsidRPr="0060399E">
        <w:rPr>
          <w:b w:val="0"/>
        </w:rPr>
        <w:t>A quem compete autorizar a</w:t>
      </w:r>
      <w:r w:rsidR="00CA4BCA" w:rsidRPr="0060399E">
        <w:rPr>
          <w:b w:val="0"/>
        </w:rPr>
        <w:t xml:space="preserve"> contratação oriunda do Sistema de Registro de Preços, bem como</w:t>
      </w:r>
      <w:r w:rsidR="00005C35" w:rsidRPr="0060399E">
        <w:rPr>
          <w:b w:val="0"/>
        </w:rPr>
        <w:t xml:space="preserve"> a emi</w:t>
      </w:r>
      <w:r w:rsidR="000733FA" w:rsidRPr="0060399E">
        <w:rPr>
          <w:b w:val="0"/>
        </w:rPr>
        <w:t>ssão de reserva e empenho.</w:t>
      </w:r>
    </w:p>
    <w:p w:rsidR="00A57C53" w:rsidRPr="0060399E" w:rsidRDefault="00A57C53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Setor de Pesquisa de Preços – </w:t>
      </w:r>
      <w:r w:rsidRPr="0060399E">
        <w:rPr>
          <w:b w:val="0"/>
        </w:rPr>
        <w:t>Responsável por consultar o Sistema de Preços Referenciais e realizar a pesquisa de preços (coleta de orçamentos, pesquisa de contratos vigentes, etc.)</w:t>
      </w:r>
      <w:r w:rsidR="000733FA" w:rsidRPr="0060399E">
        <w:rPr>
          <w:b w:val="0"/>
        </w:rPr>
        <w:t>.</w:t>
      </w:r>
    </w:p>
    <w:p w:rsidR="007B4DF2" w:rsidRPr="0060399E" w:rsidRDefault="00A57C53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60399E">
        <w:t xml:space="preserve">Fornecedor – </w:t>
      </w:r>
      <w:r w:rsidRPr="0060399E">
        <w:rPr>
          <w:b w:val="0"/>
        </w:rPr>
        <w:t>Pessoa física ou jurídica cujos preços para os bens ou serviços estão registrados na ARP</w:t>
      </w:r>
      <w:r w:rsidR="00666FB9" w:rsidRPr="0060399E">
        <w:rPr>
          <w:b w:val="0"/>
        </w:rPr>
        <w:t>.</w:t>
      </w:r>
    </w:p>
    <w:p w:rsidR="000733FA" w:rsidRPr="0060399E" w:rsidRDefault="000733FA" w:rsidP="000733FA">
      <w:pPr>
        <w:pStyle w:val="N11"/>
        <w:numPr>
          <w:ilvl w:val="0"/>
          <w:numId w:val="0"/>
        </w:numPr>
      </w:pPr>
    </w:p>
    <w:p w:rsidR="00BB3F46" w:rsidRPr="0060399E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  <w:rPr>
          <w:rFonts w:cs="Arial"/>
          <w:bCs/>
          <w:szCs w:val="24"/>
        </w:rPr>
      </w:pPr>
      <w:r w:rsidRPr="0060399E">
        <w:rPr>
          <w:rFonts w:cs="Arial"/>
          <w:bCs/>
          <w:szCs w:val="24"/>
        </w:rPr>
        <w:lastRenderedPageBreak/>
        <w:t>UNIDADES FUNCIONAIS ENVOLVIDAS</w:t>
      </w:r>
    </w:p>
    <w:p w:rsidR="00D40809" w:rsidRPr="0060399E" w:rsidRDefault="00B855B6" w:rsidP="003C3C4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S</w:t>
      </w:r>
      <w:r w:rsidR="00D40809" w:rsidRPr="0060399E">
        <w:t>etor Requisitante</w:t>
      </w:r>
    </w:p>
    <w:p w:rsidR="00DC297A" w:rsidRPr="0060399E" w:rsidRDefault="00DC297A" w:rsidP="003C3C4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Setor de Pesquisa de Preços</w:t>
      </w:r>
    </w:p>
    <w:p w:rsidR="00D40809" w:rsidRPr="0060399E" w:rsidRDefault="00D40809" w:rsidP="0096666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 xml:space="preserve">Setor de </w:t>
      </w:r>
      <w:r w:rsidR="00DC297A" w:rsidRPr="0060399E">
        <w:t>Orçamento</w:t>
      </w:r>
    </w:p>
    <w:p w:rsidR="0096666B" w:rsidRPr="0060399E" w:rsidRDefault="0096666B" w:rsidP="0096666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Órgão Gerenciador</w:t>
      </w:r>
    </w:p>
    <w:p w:rsidR="0096666B" w:rsidRPr="0060399E" w:rsidRDefault="0096666B" w:rsidP="0096666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S</w:t>
      </w:r>
      <w:r w:rsidR="00005C35" w:rsidRPr="0060399E">
        <w:t>econt</w:t>
      </w:r>
    </w:p>
    <w:p w:rsidR="0096666B" w:rsidRPr="0060399E" w:rsidRDefault="0096666B" w:rsidP="0096666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PGE</w:t>
      </w:r>
    </w:p>
    <w:p w:rsidR="0096666B" w:rsidRPr="0060399E" w:rsidRDefault="0096666B" w:rsidP="0096666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60399E">
        <w:t>Ordenador/Autoridade Competente</w:t>
      </w:r>
    </w:p>
    <w:p w:rsidR="00B6610C" w:rsidRPr="0060399E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PROCEDIMENTOS</w:t>
      </w:r>
    </w:p>
    <w:p w:rsidR="008D7E64" w:rsidRPr="0060399E" w:rsidRDefault="008D7E64" w:rsidP="008D7E64">
      <w:pPr>
        <w:pStyle w:val="N11"/>
        <w:widowControl w:val="0"/>
        <w:numPr>
          <w:ilvl w:val="0"/>
          <w:numId w:val="0"/>
        </w:numPr>
      </w:pPr>
      <w:r w:rsidRPr="0060399E">
        <w:t>O processo inicia-se com a identificação da necessidade de aquisição ou contratação de algum bem ou serviço pelo Setor Requisitante.</w:t>
      </w:r>
    </w:p>
    <w:p w:rsidR="00D94D50" w:rsidRPr="0060399E" w:rsidRDefault="00D94D50" w:rsidP="00D94D50">
      <w:pPr>
        <w:pStyle w:val="N11"/>
        <w:widowControl w:val="0"/>
        <w:numPr>
          <w:ilvl w:val="0"/>
          <w:numId w:val="0"/>
        </w:numPr>
      </w:pPr>
      <w:r w:rsidRPr="0060399E">
        <w:t>T01 – Providenciar autuação do processo</w:t>
      </w:r>
    </w:p>
    <w:p w:rsidR="00D94D50" w:rsidRPr="0060399E" w:rsidRDefault="00D94D50" w:rsidP="00D94D50">
      <w:pPr>
        <w:pStyle w:val="N11"/>
        <w:widowControl w:val="0"/>
        <w:numPr>
          <w:ilvl w:val="0"/>
          <w:numId w:val="0"/>
        </w:numPr>
      </w:pPr>
      <w:r w:rsidRPr="0060399E">
        <w:t>T02 – Elaborar o Projeto Básico ou Termo de Referência</w:t>
      </w:r>
    </w:p>
    <w:p w:rsidR="003B1B83" w:rsidRPr="0060399E" w:rsidRDefault="009B2171" w:rsidP="008D7E64">
      <w:pPr>
        <w:pStyle w:val="N11"/>
        <w:widowControl w:val="0"/>
        <w:numPr>
          <w:ilvl w:val="0"/>
          <w:numId w:val="0"/>
        </w:numPr>
      </w:pPr>
      <w:r w:rsidRPr="0060399E">
        <w:t>O documento deve conter</w:t>
      </w:r>
      <w:r w:rsidR="003A4402" w:rsidRPr="0060399E">
        <w:t>, no mínimo, as seguintes informações:</w:t>
      </w:r>
    </w:p>
    <w:p w:rsidR="003B1B83" w:rsidRPr="0060399E" w:rsidRDefault="008776B3" w:rsidP="008D7E64">
      <w:pPr>
        <w:pStyle w:val="N11"/>
        <w:widowControl w:val="0"/>
        <w:numPr>
          <w:ilvl w:val="0"/>
          <w:numId w:val="0"/>
        </w:numPr>
      </w:pPr>
      <w:r w:rsidRPr="0060399E">
        <w:t xml:space="preserve">(i) </w:t>
      </w:r>
      <w:r w:rsidR="003A4402" w:rsidRPr="0060399E">
        <w:t>detalhamento técnico do objeto que se deseja adquirir</w:t>
      </w:r>
      <w:r w:rsidR="003B1B83" w:rsidRPr="0060399E">
        <w:t>;</w:t>
      </w:r>
    </w:p>
    <w:p w:rsidR="003B1B83" w:rsidRPr="0060399E" w:rsidRDefault="008776B3" w:rsidP="008D7E64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Pr="0060399E">
        <w:t>ii</w:t>
      </w:r>
      <w:proofErr w:type="spellEnd"/>
      <w:r w:rsidRPr="0060399E">
        <w:t>)</w:t>
      </w:r>
      <w:r w:rsidR="003A4402" w:rsidRPr="0060399E">
        <w:t xml:space="preserve"> a necessidade da aquisição</w:t>
      </w:r>
      <w:r w:rsidR="003B1B83" w:rsidRPr="0060399E">
        <w:t>;</w:t>
      </w:r>
    </w:p>
    <w:p w:rsidR="003B1B83" w:rsidRPr="0060399E" w:rsidRDefault="008776B3" w:rsidP="008D7E64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Pr="0060399E">
        <w:t>iii</w:t>
      </w:r>
      <w:proofErr w:type="spellEnd"/>
      <w:r w:rsidRPr="0060399E">
        <w:t>)</w:t>
      </w:r>
      <w:r w:rsidR="003A4402" w:rsidRPr="0060399E">
        <w:t xml:space="preserve"> o quantitativo</w:t>
      </w:r>
      <w:r w:rsidR="003B1B83" w:rsidRPr="0060399E">
        <w:t>;</w:t>
      </w:r>
    </w:p>
    <w:p w:rsidR="003B1B83" w:rsidRPr="0060399E" w:rsidRDefault="008776B3" w:rsidP="008D7E64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Pr="0060399E">
        <w:t>iv</w:t>
      </w:r>
      <w:proofErr w:type="spellEnd"/>
      <w:r w:rsidRPr="0060399E">
        <w:t>)</w:t>
      </w:r>
      <w:r w:rsidR="003A4402" w:rsidRPr="0060399E">
        <w:t xml:space="preserve"> o(s) local(</w:t>
      </w:r>
      <w:proofErr w:type="spellStart"/>
      <w:r w:rsidR="003A4402" w:rsidRPr="0060399E">
        <w:t>is</w:t>
      </w:r>
      <w:proofErr w:type="spellEnd"/>
      <w:r w:rsidR="003A4402" w:rsidRPr="0060399E">
        <w:t>) onde será(ão) disponibilizado(s)</w:t>
      </w:r>
      <w:r w:rsidR="003B1B83" w:rsidRPr="0060399E">
        <w:t>;</w:t>
      </w:r>
    </w:p>
    <w:p w:rsidR="003A4402" w:rsidRPr="0060399E" w:rsidRDefault="008776B3" w:rsidP="008D7E64">
      <w:pPr>
        <w:pStyle w:val="N11"/>
        <w:widowControl w:val="0"/>
        <w:numPr>
          <w:ilvl w:val="0"/>
          <w:numId w:val="0"/>
        </w:numPr>
      </w:pPr>
      <w:r w:rsidRPr="0060399E">
        <w:t>(v)</w:t>
      </w:r>
      <w:r w:rsidR="003A4402" w:rsidRPr="0060399E">
        <w:t xml:space="preserve"> e o valor estimado da aquisição</w:t>
      </w:r>
      <w:r w:rsidR="00D91375" w:rsidRPr="0060399E">
        <w:t xml:space="preserve"> (art. 18-A, </w:t>
      </w:r>
      <w:r w:rsidR="00D91375" w:rsidRPr="0060399E">
        <w:rPr>
          <w:i/>
        </w:rPr>
        <w:t>caput</w:t>
      </w:r>
      <w:r w:rsidR="00D91375" w:rsidRPr="0060399E">
        <w:t>, do Decreto Estadual 1.790-R/2007 c/c art. 1º, I</w:t>
      </w:r>
      <w:r w:rsidR="006C4277" w:rsidRPr="0060399E">
        <w:t>I</w:t>
      </w:r>
      <w:r w:rsidR="00D91375" w:rsidRPr="0060399E">
        <w:t>, “a”, da Portaria AGE(SECONT)/SEGER 01-R /2007)</w:t>
      </w:r>
      <w:r w:rsidR="003A4402" w:rsidRPr="0060399E">
        <w:t>.</w:t>
      </w:r>
    </w:p>
    <w:p w:rsidR="00E41297" w:rsidRPr="0060399E" w:rsidRDefault="005D5D36" w:rsidP="00CA70A1">
      <w:pPr>
        <w:pStyle w:val="N11"/>
        <w:widowControl w:val="0"/>
        <w:numPr>
          <w:ilvl w:val="0"/>
          <w:numId w:val="0"/>
        </w:numPr>
      </w:pPr>
      <w:r w:rsidRPr="0060399E">
        <w:t xml:space="preserve">Além disso, deve verificar </w:t>
      </w:r>
      <w:r w:rsidR="00E41297" w:rsidRPr="0060399E">
        <w:t>se:</w:t>
      </w:r>
    </w:p>
    <w:p w:rsidR="00E41297" w:rsidRPr="0060399E" w:rsidRDefault="00CA70A1" w:rsidP="00CA70A1">
      <w:pPr>
        <w:pStyle w:val="N11"/>
        <w:widowControl w:val="0"/>
        <w:numPr>
          <w:ilvl w:val="0"/>
          <w:numId w:val="0"/>
        </w:numPr>
      </w:pPr>
      <w:r w:rsidRPr="0060399E">
        <w:t xml:space="preserve">(i) </w:t>
      </w:r>
      <w:r w:rsidR="00E41297" w:rsidRPr="0060399E">
        <w:t>a ARP está vigente;</w:t>
      </w:r>
    </w:p>
    <w:p w:rsidR="00E41297" w:rsidRPr="0060399E" w:rsidRDefault="00CA70A1" w:rsidP="00CA70A1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Pr="0060399E">
        <w:t>ii</w:t>
      </w:r>
      <w:proofErr w:type="spellEnd"/>
      <w:r w:rsidRPr="0060399E">
        <w:t>)</w:t>
      </w:r>
      <w:r w:rsidR="009E017F" w:rsidRPr="0060399E">
        <w:t xml:space="preserve"> </w:t>
      </w:r>
      <w:r w:rsidRPr="0060399E">
        <w:t>o quantitativo solicitado para cada item atende ao limite de cem por cento do quantitativo do respectivo item registrado na Ata de Registro de Preços (art. 1</w:t>
      </w:r>
      <w:r w:rsidR="00654813" w:rsidRPr="0060399E">
        <w:t>8</w:t>
      </w:r>
      <w:r w:rsidRPr="0060399E">
        <w:t>, §</w:t>
      </w:r>
      <w:r w:rsidR="009E017F" w:rsidRPr="0060399E">
        <w:t>§</w:t>
      </w:r>
      <w:r w:rsidRPr="0060399E">
        <w:t xml:space="preserve"> </w:t>
      </w:r>
      <w:r w:rsidR="00654813" w:rsidRPr="0060399E">
        <w:t>4</w:t>
      </w:r>
      <w:r w:rsidRPr="0060399E">
        <w:t>º</w:t>
      </w:r>
      <w:r w:rsidR="009E017F" w:rsidRPr="0060399E">
        <w:t xml:space="preserve"> e 5º</w:t>
      </w:r>
      <w:r w:rsidRPr="0060399E">
        <w:t>, do Decreto Estadual 1.790-R/2007</w:t>
      </w:r>
      <w:r w:rsidR="005C6A9A" w:rsidRPr="0060399E">
        <w:t>);</w:t>
      </w:r>
    </w:p>
    <w:p w:rsidR="00CA70A1" w:rsidRPr="0060399E" w:rsidRDefault="00CA70A1" w:rsidP="00CA70A1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="00101E6D" w:rsidRPr="0060399E">
        <w:t>iii</w:t>
      </w:r>
      <w:proofErr w:type="spellEnd"/>
      <w:r w:rsidRPr="0060399E">
        <w:t xml:space="preserve">) </w:t>
      </w:r>
      <w:r w:rsidR="00101E6D" w:rsidRPr="0060399E">
        <w:t>a empresa fornecedora está cumprindo sanção impeditiva de contratação com a Administração, inclusive em nome de seus sócios majoritários, por força do art. 12 da Lei 8.429/1992</w:t>
      </w:r>
      <w:r w:rsidRPr="0060399E">
        <w:t>.</w:t>
      </w:r>
    </w:p>
    <w:p w:rsidR="00D50F7D" w:rsidRPr="0060399E" w:rsidRDefault="00C84A86" w:rsidP="00CA70A1">
      <w:pPr>
        <w:pStyle w:val="N11"/>
        <w:widowControl w:val="0"/>
        <w:numPr>
          <w:ilvl w:val="0"/>
          <w:numId w:val="0"/>
        </w:numPr>
      </w:pPr>
      <w:r w:rsidRPr="0060399E">
        <w:t>Q</w:t>
      </w:r>
      <w:r w:rsidR="00D50F7D" w:rsidRPr="0060399E">
        <w:t xml:space="preserve">uando já houver prévia adesão de outro órgão ou entidade pertencente </w:t>
      </w:r>
      <w:r w:rsidRPr="0060399E">
        <w:t>à</w:t>
      </w:r>
      <w:r w:rsidR="00A36813" w:rsidRPr="0060399E">
        <w:t xml:space="preserve"> Administração</w:t>
      </w:r>
      <w:r w:rsidR="00D50F7D" w:rsidRPr="0060399E">
        <w:t xml:space="preserve"> Estadual à mesma </w:t>
      </w:r>
      <w:r w:rsidR="00A36813" w:rsidRPr="0060399E">
        <w:t>ARP</w:t>
      </w:r>
      <w:r w:rsidR="00D50F7D" w:rsidRPr="0060399E">
        <w:t>, cujos procedimentos formais para aquisição do bem ou serviço tenham sido regularmente concluídos, poderão ser dispensados os procedimentos exigidos nas alíneas “d”, “e”, “m” e “n”, pelo órgão ou entidade que estiver efetuando a nova adesão</w:t>
      </w:r>
      <w:r w:rsidR="00A36813" w:rsidRPr="0060399E">
        <w:t xml:space="preserve"> (art. 1º, II, § 1º, da Portaria AGE(SECONT)/SEGER 01-R /2007).</w:t>
      </w:r>
    </w:p>
    <w:p w:rsidR="009718C2" w:rsidRPr="0060399E" w:rsidRDefault="00757654" w:rsidP="008D7E64">
      <w:pPr>
        <w:pStyle w:val="N11"/>
        <w:widowControl w:val="0"/>
        <w:numPr>
          <w:ilvl w:val="0"/>
          <w:numId w:val="0"/>
        </w:numPr>
      </w:pPr>
      <w:r w:rsidRPr="0060399E">
        <w:t>T03</w:t>
      </w:r>
      <w:r w:rsidR="009718C2" w:rsidRPr="0060399E">
        <w:t xml:space="preserve"> – Anexar documentos</w:t>
      </w:r>
      <w:r w:rsidR="00656D17" w:rsidRPr="0060399E">
        <w:t xml:space="preserve"> referentes à ARP</w:t>
      </w:r>
    </w:p>
    <w:p w:rsidR="006045E5" w:rsidRPr="0060399E" w:rsidRDefault="009718C2" w:rsidP="009718C2">
      <w:pPr>
        <w:pStyle w:val="N11"/>
        <w:widowControl w:val="0"/>
        <w:numPr>
          <w:ilvl w:val="0"/>
          <w:numId w:val="0"/>
        </w:numPr>
      </w:pPr>
      <w:r w:rsidRPr="0060399E">
        <w:t xml:space="preserve">Os documentos a serem juntados ao processo instaurado para a </w:t>
      </w:r>
      <w:r w:rsidR="00163B82" w:rsidRPr="0060399E">
        <w:t>adesão</w:t>
      </w:r>
      <w:r w:rsidRPr="0060399E">
        <w:t xml:space="preserve"> são</w:t>
      </w:r>
      <w:r w:rsidR="00116CBC" w:rsidRPr="0060399E">
        <w:t>:</w:t>
      </w:r>
    </w:p>
    <w:p w:rsidR="006045E5" w:rsidRPr="0060399E" w:rsidRDefault="004A387A" w:rsidP="009718C2">
      <w:pPr>
        <w:pStyle w:val="N11"/>
        <w:widowControl w:val="0"/>
        <w:numPr>
          <w:ilvl w:val="0"/>
          <w:numId w:val="0"/>
        </w:numPr>
      </w:pPr>
      <w:r w:rsidRPr="0060399E">
        <w:t xml:space="preserve">(i) </w:t>
      </w:r>
      <w:r w:rsidR="00EA2860" w:rsidRPr="0060399E">
        <w:t>a</w:t>
      </w:r>
      <w:r w:rsidR="009718C2" w:rsidRPr="0060399E">
        <w:t xml:space="preserve"> cópia da Ata de Registro de Preços</w:t>
      </w:r>
      <w:r w:rsidR="00647E13" w:rsidRPr="0060399E">
        <w:t xml:space="preserve"> (devidamente assinada)</w:t>
      </w:r>
      <w:r w:rsidR="00B909A8" w:rsidRPr="0060399E">
        <w:t xml:space="preserve"> e</w:t>
      </w:r>
      <w:r w:rsidRPr="0060399E">
        <w:t xml:space="preserve"> </w:t>
      </w:r>
      <w:r w:rsidR="00647E13" w:rsidRPr="0060399E">
        <w:t>o edital de l</w:t>
      </w:r>
      <w:r w:rsidR="0045522F" w:rsidRPr="0060399E">
        <w:t xml:space="preserve">icitação que </w:t>
      </w:r>
      <w:r w:rsidR="00647E13" w:rsidRPr="0060399E">
        <w:t>origino</w:t>
      </w:r>
      <w:r w:rsidR="0045522F" w:rsidRPr="0060399E">
        <w:t>u</w:t>
      </w:r>
      <w:r w:rsidR="00647E13" w:rsidRPr="0060399E">
        <w:t xml:space="preserve"> a ARP</w:t>
      </w:r>
      <w:r w:rsidR="00B909A8" w:rsidRPr="0060399E">
        <w:t xml:space="preserve"> (art. 1º, II, “c”, da Portaria AGE(SECONT)/SEGER 01-R/2007)</w:t>
      </w:r>
      <w:r w:rsidR="006045E5" w:rsidRPr="0060399E">
        <w:t>;</w:t>
      </w:r>
    </w:p>
    <w:p w:rsidR="006045E5" w:rsidRPr="0060399E" w:rsidRDefault="004A387A" w:rsidP="009718C2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Pr="0060399E">
        <w:t>ii</w:t>
      </w:r>
      <w:proofErr w:type="spellEnd"/>
      <w:r w:rsidRPr="0060399E">
        <w:t>) cópias das publicações, no Diário Oficial do local de origem, do aviso do certame licitatório, de seu resultado e do resumo</w:t>
      </w:r>
      <w:r w:rsidR="004059C0" w:rsidRPr="0060399E">
        <w:t xml:space="preserve"> da</w:t>
      </w:r>
      <w:r w:rsidRPr="0060399E">
        <w:t xml:space="preserve"> ARP</w:t>
      </w:r>
      <w:r w:rsidR="00B909A8" w:rsidRPr="0060399E">
        <w:t xml:space="preserve"> (art. 1º, II, “d”, da Portaria AGE(SECONT)/SEGER 01-R/2007)</w:t>
      </w:r>
      <w:r w:rsidR="006045E5" w:rsidRPr="0060399E">
        <w:t>;</w:t>
      </w:r>
    </w:p>
    <w:p w:rsidR="004059C0" w:rsidRPr="0060399E" w:rsidRDefault="004A387A" w:rsidP="009718C2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="00B909A8" w:rsidRPr="0060399E">
        <w:t>iii</w:t>
      </w:r>
      <w:proofErr w:type="spellEnd"/>
      <w:r w:rsidRPr="0060399E">
        <w:t>) cópia da publicação do aviso do certame licitatório em jornal ou em página do Órgão Gerenciador da ARP, na internet, observado o artigo 18, §</w:t>
      </w:r>
      <w:r w:rsidR="00945D94" w:rsidRPr="0060399E">
        <w:t>§</w:t>
      </w:r>
      <w:r w:rsidRPr="0060399E">
        <w:t xml:space="preserve"> 2º</w:t>
      </w:r>
      <w:r w:rsidR="00945D94" w:rsidRPr="0060399E">
        <w:t xml:space="preserve"> e 3º</w:t>
      </w:r>
      <w:r w:rsidRPr="0060399E">
        <w:t xml:space="preserve">, do Decreto </w:t>
      </w:r>
      <w:r w:rsidR="00945D94" w:rsidRPr="0060399E">
        <w:t xml:space="preserve">Estadual </w:t>
      </w:r>
      <w:r w:rsidRPr="0060399E">
        <w:t>1.790-R</w:t>
      </w:r>
      <w:r w:rsidR="008D7F7D" w:rsidRPr="0060399E">
        <w:t>/2007</w:t>
      </w:r>
      <w:r w:rsidR="00B909A8" w:rsidRPr="0060399E">
        <w:t xml:space="preserve"> (art. 1º, II, “e”, da Portaria AGE(SECONT)/SEGER 01-R/2007)</w:t>
      </w:r>
      <w:r w:rsidR="00766EA8" w:rsidRPr="0060399E">
        <w:t>;</w:t>
      </w:r>
    </w:p>
    <w:p w:rsidR="009718C2" w:rsidRPr="0060399E" w:rsidRDefault="00766EA8" w:rsidP="009718C2">
      <w:pPr>
        <w:pStyle w:val="N11"/>
        <w:widowControl w:val="0"/>
        <w:numPr>
          <w:ilvl w:val="0"/>
          <w:numId w:val="0"/>
        </w:numPr>
      </w:pPr>
      <w:r w:rsidRPr="0060399E">
        <w:t>(</w:t>
      </w:r>
      <w:proofErr w:type="spellStart"/>
      <w:r w:rsidR="004B6A05" w:rsidRPr="0060399E">
        <w:t>i</w:t>
      </w:r>
      <w:r w:rsidRPr="0060399E">
        <w:t>v</w:t>
      </w:r>
      <w:proofErr w:type="spellEnd"/>
      <w:r w:rsidRPr="0060399E">
        <w:t xml:space="preserve">) </w:t>
      </w:r>
      <w:r w:rsidR="009718C2" w:rsidRPr="0060399E">
        <w:t>outros, se existirem.</w:t>
      </w:r>
    </w:p>
    <w:p w:rsidR="00660370" w:rsidRPr="0060399E" w:rsidRDefault="00660370" w:rsidP="009718C2">
      <w:pPr>
        <w:pStyle w:val="N11"/>
        <w:widowControl w:val="0"/>
        <w:numPr>
          <w:ilvl w:val="0"/>
          <w:numId w:val="0"/>
        </w:numPr>
      </w:pPr>
      <w:r w:rsidRPr="0060399E">
        <w:t>T0</w:t>
      </w:r>
      <w:r w:rsidR="00757654" w:rsidRPr="0060399E">
        <w:t>4</w:t>
      </w:r>
      <w:r w:rsidRPr="0060399E">
        <w:t xml:space="preserve"> – Declarar a compatibilidade com os itens registrados</w:t>
      </w:r>
    </w:p>
    <w:p w:rsidR="00B91C1D" w:rsidRPr="0060399E" w:rsidRDefault="00B91C1D" w:rsidP="009718C2">
      <w:pPr>
        <w:pStyle w:val="N11"/>
        <w:widowControl w:val="0"/>
        <w:numPr>
          <w:ilvl w:val="0"/>
          <w:numId w:val="0"/>
        </w:numPr>
      </w:pPr>
      <w:r w:rsidRPr="0060399E">
        <w:t>O Setor Requisitante deve emitir</w:t>
      </w:r>
      <w:r w:rsidR="00660370" w:rsidRPr="0060399E">
        <w:t xml:space="preserve"> uma declaração </w:t>
      </w:r>
      <w:r w:rsidR="00116CBC" w:rsidRPr="0060399E">
        <w:t xml:space="preserve">de </w:t>
      </w:r>
      <w:r w:rsidR="00660370" w:rsidRPr="0060399E">
        <w:t>que os itens registrados, objeto da adesão, atendem às necessidades técnicas previstas no Termo de Referência ou Projeto Básico</w:t>
      </w:r>
      <w:r w:rsidR="00D372EE" w:rsidRPr="0060399E">
        <w:t xml:space="preserve"> (art. 1º, II, “f”, da Portaria AGE(SECONT)/SEGER 01-R/2007)</w:t>
      </w:r>
      <w:r w:rsidRPr="0060399E">
        <w:t>.</w:t>
      </w:r>
    </w:p>
    <w:p w:rsidR="00757654" w:rsidRPr="0060399E" w:rsidRDefault="00757654" w:rsidP="00757654">
      <w:pPr>
        <w:pStyle w:val="N11"/>
        <w:widowControl w:val="0"/>
        <w:numPr>
          <w:ilvl w:val="0"/>
          <w:numId w:val="0"/>
        </w:numPr>
      </w:pPr>
      <w:r w:rsidRPr="0060399E">
        <w:t>T05 – Encaminhar para pesquisa de preços</w:t>
      </w:r>
    </w:p>
    <w:p w:rsidR="00757654" w:rsidRPr="0060399E" w:rsidRDefault="00757654" w:rsidP="00757654">
      <w:pPr>
        <w:pStyle w:val="N11"/>
        <w:widowControl w:val="0"/>
        <w:numPr>
          <w:ilvl w:val="0"/>
          <w:numId w:val="0"/>
        </w:numPr>
      </w:pPr>
      <w:r w:rsidRPr="0060399E">
        <w:t>T06 – Realizar a pesquisa de preços</w:t>
      </w:r>
    </w:p>
    <w:p w:rsidR="00FB0D6D" w:rsidRPr="0060399E" w:rsidRDefault="00FB0D6D" w:rsidP="003C3C4B">
      <w:pPr>
        <w:pStyle w:val="N11"/>
        <w:widowControl w:val="0"/>
        <w:numPr>
          <w:ilvl w:val="0"/>
          <w:numId w:val="0"/>
        </w:numPr>
      </w:pPr>
      <w:r w:rsidRPr="0060399E">
        <w:t xml:space="preserve">Conforme </w:t>
      </w:r>
      <w:r w:rsidR="00550114" w:rsidRPr="0060399E">
        <w:t xml:space="preserve">art. 1º, II, “h”, da Portaria AGE(SECONT)/SEGER 01-R/2007 c/c </w:t>
      </w:r>
      <w:r w:rsidRPr="0060399E">
        <w:t xml:space="preserve">art. </w:t>
      </w:r>
      <w:r w:rsidR="00213488" w:rsidRPr="0060399E">
        <w:t>1</w:t>
      </w:r>
      <w:r w:rsidR="00550114" w:rsidRPr="0060399E">
        <w:t>8-A</w:t>
      </w:r>
      <w:r w:rsidRPr="0060399E">
        <w:t xml:space="preserve">, </w:t>
      </w:r>
      <w:r w:rsidR="00550114" w:rsidRPr="0060399E">
        <w:t>parágrafo único</w:t>
      </w:r>
      <w:r w:rsidRPr="0060399E">
        <w:t>,</w:t>
      </w:r>
      <w:r w:rsidR="009E2C4D" w:rsidRPr="0060399E">
        <w:t xml:space="preserve"> do Decreto Estadual</w:t>
      </w:r>
      <w:r w:rsidR="00B70E1E" w:rsidRPr="0060399E">
        <w:t xml:space="preserve"> </w:t>
      </w:r>
      <w:r w:rsidR="009E2C4D" w:rsidRPr="0060399E">
        <w:t>1.790-R/2007,</w:t>
      </w:r>
      <w:r w:rsidRPr="0060399E">
        <w:t xml:space="preserve"> o Órgão </w:t>
      </w:r>
      <w:r w:rsidR="00213488" w:rsidRPr="0060399E">
        <w:t xml:space="preserve">Não </w:t>
      </w:r>
      <w:r w:rsidRPr="0060399E">
        <w:t xml:space="preserve">Participante deve </w:t>
      </w:r>
      <w:r w:rsidR="003B2882" w:rsidRPr="0060399E">
        <w:t>comprovar que os preços registrados na ARP estão compatíveis com os praticados no mercado</w:t>
      </w:r>
      <w:r w:rsidR="005A5B45" w:rsidRPr="0060399E">
        <w:t>.</w:t>
      </w:r>
    </w:p>
    <w:p w:rsidR="007019E3" w:rsidRPr="0060399E" w:rsidRDefault="007019E3" w:rsidP="003C3C4B">
      <w:pPr>
        <w:widowControl w:val="0"/>
      </w:pPr>
      <w:r w:rsidRPr="0060399E">
        <w:t>Se constarem no Sistema de Preços Referenciais, deve</w:t>
      </w:r>
      <w:r w:rsidR="00B139B3" w:rsidRPr="0060399E">
        <w:t>m</w:t>
      </w:r>
      <w:r w:rsidRPr="0060399E">
        <w:t xml:space="preserve"> ser </w:t>
      </w:r>
      <w:r w:rsidR="00B139B3" w:rsidRPr="0060399E">
        <w:t>observados</w:t>
      </w:r>
      <w:r w:rsidRPr="0060399E">
        <w:t xml:space="preserve"> </w:t>
      </w:r>
      <w:r w:rsidR="00B139B3" w:rsidRPr="0060399E">
        <w:t>os</w:t>
      </w:r>
      <w:r w:rsidRPr="0060399E">
        <w:t xml:space="preserve"> preços para os bens ou serviços </w:t>
      </w:r>
      <w:r w:rsidR="00B139B3" w:rsidRPr="0060399E">
        <w:t>contemplados</w:t>
      </w:r>
      <w:r w:rsidRPr="0060399E">
        <w:t>, conforme Decreto Estadual</w:t>
      </w:r>
      <w:r w:rsidR="00B70E1E" w:rsidRPr="0060399E">
        <w:t xml:space="preserve"> </w:t>
      </w:r>
      <w:r w:rsidRPr="0060399E">
        <w:t>3</w:t>
      </w:r>
      <w:r w:rsidR="00B139B3" w:rsidRPr="0060399E">
        <w:t>.</w:t>
      </w:r>
      <w:r w:rsidRPr="0060399E">
        <w:t>608-R/2014</w:t>
      </w:r>
      <w:r w:rsidR="00B139B3" w:rsidRPr="0060399E">
        <w:t>, Lei Complementar 381/2007 (art. 4º, XII, e art. 46, VII) e Instrução Normativa do TCEES 15/2009</w:t>
      </w:r>
      <w:r w:rsidRPr="0060399E">
        <w:t>.</w:t>
      </w:r>
    </w:p>
    <w:p w:rsidR="007019E3" w:rsidRPr="0060399E" w:rsidRDefault="007019E3" w:rsidP="003C3C4B">
      <w:pPr>
        <w:widowControl w:val="0"/>
      </w:pPr>
      <w:r w:rsidRPr="0060399E">
        <w:t xml:space="preserve">Se não constarem no Sistema de Preços Referenciais, deve ser realizada a cotação para </w:t>
      </w:r>
      <w:r w:rsidR="00FB0D6D" w:rsidRPr="0060399E">
        <w:t>os itens não contemplados</w:t>
      </w:r>
      <w:r w:rsidRPr="0060399E">
        <w:t>, através de ampla pesquisa de preços, com consulta a fornecedores e a preços obtidos a partir de contratos anteriores do própr</w:t>
      </w:r>
      <w:r w:rsidR="00D15918" w:rsidRPr="0060399E">
        <w:t>io órgão, de outros órgãos, de Atas de Registro de P</w:t>
      </w:r>
      <w:r w:rsidRPr="0060399E">
        <w:t>reços e quaisquer outras fontes capazes de retratar o valor de mercado da contratação.</w:t>
      </w:r>
    </w:p>
    <w:p w:rsidR="00F964D9" w:rsidRPr="0060399E" w:rsidRDefault="000A0B5D" w:rsidP="003C3C4B">
      <w:pPr>
        <w:widowControl w:val="0"/>
      </w:pPr>
      <w:r w:rsidRPr="0060399E">
        <w:t>T</w:t>
      </w:r>
      <w:r w:rsidR="00020A1B" w:rsidRPr="0060399E">
        <w:t>07</w:t>
      </w:r>
      <w:r w:rsidRPr="0060399E">
        <w:t xml:space="preserve"> </w:t>
      </w:r>
      <w:r w:rsidR="002A3D65" w:rsidRPr="0060399E">
        <w:t>–</w:t>
      </w:r>
      <w:r w:rsidRPr="0060399E">
        <w:t xml:space="preserve"> </w:t>
      </w:r>
      <w:r w:rsidR="00F964D9" w:rsidRPr="0060399E">
        <w:t>Elaborar mapa comparativo de preços e manifestação</w:t>
      </w:r>
    </w:p>
    <w:p w:rsidR="00F964D9" w:rsidRPr="0060399E" w:rsidRDefault="00F964D9" w:rsidP="003C3C4B">
      <w:pPr>
        <w:widowControl w:val="0"/>
      </w:pPr>
      <w:r w:rsidRPr="0060399E">
        <w:t>Realizada a pesquisa de preços, elabora</w:t>
      </w:r>
      <w:r w:rsidR="0023255E" w:rsidRPr="0060399E">
        <w:t>r</w:t>
      </w:r>
      <w:r w:rsidRPr="0060399E">
        <w:t xml:space="preserve"> o Mapa Comparativo de Preços e a manifestação contendo análise crítica dos valores encontrados e justificativa do critério utilizado para fins de obtenção do preço máximo da aquisição ou contratação, encaminhando o processo ao Setor Requisitante para validação.</w:t>
      </w:r>
    </w:p>
    <w:p w:rsidR="001B77C5" w:rsidRPr="0060399E" w:rsidRDefault="002627DE" w:rsidP="003C3C4B">
      <w:pPr>
        <w:widowControl w:val="0"/>
      </w:pPr>
      <w:r w:rsidRPr="0060399E">
        <w:t>T</w:t>
      </w:r>
      <w:r w:rsidR="00020A1B" w:rsidRPr="0060399E">
        <w:t>08</w:t>
      </w:r>
      <w:r w:rsidR="001B77C5" w:rsidRPr="0060399E">
        <w:t xml:space="preserve"> </w:t>
      </w:r>
      <w:r w:rsidR="00824D13" w:rsidRPr="0060399E">
        <w:t>–</w:t>
      </w:r>
      <w:r w:rsidR="004017CF" w:rsidRPr="0060399E">
        <w:t xml:space="preserve"> Analisar</w:t>
      </w:r>
      <w:r w:rsidR="0023255E" w:rsidRPr="0060399E">
        <w:t xml:space="preserve"> a </w:t>
      </w:r>
      <w:r w:rsidR="001B77C5" w:rsidRPr="0060399E">
        <w:t>instrução processual</w:t>
      </w:r>
    </w:p>
    <w:p w:rsidR="00F638B9" w:rsidRPr="0060399E" w:rsidRDefault="001B77C5" w:rsidP="003C3C4B">
      <w:pPr>
        <w:widowControl w:val="0"/>
      </w:pPr>
      <w:r w:rsidRPr="0060399E">
        <w:t>O Setor Requisitante deve validar/conferir a instrução processual</w:t>
      </w:r>
      <w:r w:rsidR="002627DE" w:rsidRPr="0060399E">
        <w:t xml:space="preserve"> e</w:t>
      </w:r>
      <w:r w:rsidR="00E51D24" w:rsidRPr="0060399E">
        <w:t xml:space="preserve"> declarar </w:t>
      </w:r>
      <w:r w:rsidR="00361545" w:rsidRPr="0060399E">
        <w:t xml:space="preserve">se há ou não </w:t>
      </w:r>
      <w:r w:rsidR="0023255E" w:rsidRPr="0060399E">
        <w:t>vantajosidade da aquisição ou contratação</w:t>
      </w:r>
      <w:r w:rsidR="00361545" w:rsidRPr="0060399E">
        <w:t>.</w:t>
      </w:r>
    </w:p>
    <w:p w:rsidR="0070528E" w:rsidRPr="0060399E" w:rsidRDefault="0070528E" w:rsidP="003C3C4B">
      <w:pPr>
        <w:widowControl w:val="0"/>
      </w:pPr>
      <w:r w:rsidRPr="0060399E">
        <w:t>T</w:t>
      </w:r>
      <w:r w:rsidR="00020A1B" w:rsidRPr="0060399E">
        <w:t>09</w:t>
      </w:r>
      <w:r w:rsidRPr="0060399E">
        <w:t xml:space="preserve"> </w:t>
      </w:r>
      <w:r w:rsidR="00F34C02" w:rsidRPr="0060399E">
        <w:t>–</w:t>
      </w:r>
      <w:r w:rsidRPr="0060399E">
        <w:t xml:space="preserve"> E</w:t>
      </w:r>
      <w:r w:rsidR="00F34C02" w:rsidRPr="0060399E">
        <w:t xml:space="preserve">ncaminhar para </w:t>
      </w:r>
      <w:r w:rsidR="00116CBC" w:rsidRPr="0060399E">
        <w:t>ciência e decisão</w:t>
      </w:r>
    </w:p>
    <w:p w:rsidR="00020A1B" w:rsidRPr="0060399E" w:rsidRDefault="00020A1B" w:rsidP="00020A1B">
      <w:pPr>
        <w:widowControl w:val="0"/>
      </w:pPr>
      <w:r w:rsidRPr="0060399E">
        <w:t>T10 – Decidir sobre adesão</w:t>
      </w:r>
    </w:p>
    <w:p w:rsidR="00020A1B" w:rsidRPr="0060399E" w:rsidRDefault="00020A1B" w:rsidP="00020A1B">
      <w:pPr>
        <w:pStyle w:val="N11"/>
        <w:widowControl w:val="0"/>
        <w:numPr>
          <w:ilvl w:val="0"/>
          <w:numId w:val="0"/>
        </w:numPr>
      </w:pPr>
      <w:r w:rsidRPr="0060399E">
        <w:t xml:space="preserve">Se não houver aprovação, o Ordenador/Autoridade Competente </w:t>
      </w:r>
      <w:r w:rsidR="00803D94" w:rsidRPr="0060399E">
        <w:t>encaminha</w:t>
      </w:r>
      <w:r w:rsidRPr="0060399E">
        <w:t xml:space="preserve"> o processo para ciência do Setor Requisitante (T13). Havendo aprovação, solicita a adesão ao Órgão Gerenciador da ARP (T11).</w:t>
      </w:r>
    </w:p>
    <w:p w:rsidR="00F34C02" w:rsidRPr="0060399E" w:rsidRDefault="00F34C02" w:rsidP="00F34C02">
      <w:pPr>
        <w:pStyle w:val="N11"/>
        <w:widowControl w:val="0"/>
        <w:numPr>
          <w:ilvl w:val="0"/>
          <w:numId w:val="0"/>
        </w:numPr>
      </w:pPr>
      <w:r w:rsidRPr="0060399E">
        <w:t>T1</w:t>
      </w:r>
      <w:r w:rsidR="002671D4" w:rsidRPr="0060399E">
        <w:t>1</w:t>
      </w:r>
      <w:r w:rsidRPr="0060399E">
        <w:t xml:space="preserve"> – Solicitar adesão ao Órgão Gerenciador</w:t>
      </w:r>
    </w:p>
    <w:p w:rsidR="009B2171" w:rsidRPr="0060399E" w:rsidRDefault="00F638B9" w:rsidP="003C3C4B">
      <w:pPr>
        <w:widowControl w:val="0"/>
      </w:pPr>
      <w:r w:rsidRPr="0060399E">
        <w:t>O</w:t>
      </w:r>
      <w:r w:rsidR="0019543A" w:rsidRPr="0060399E">
        <w:t xml:space="preserve"> </w:t>
      </w:r>
      <w:r w:rsidR="006125EE" w:rsidRPr="0060399E">
        <w:t xml:space="preserve">Ordenador/Autoridade Competente </w:t>
      </w:r>
      <w:r w:rsidR="00860058" w:rsidRPr="0060399E">
        <w:t>solicita</w:t>
      </w:r>
      <w:r w:rsidRPr="0060399E">
        <w:t xml:space="preserve"> </w:t>
      </w:r>
      <w:r w:rsidR="0094721D" w:rsidRPr="0060399E">
        <w:t xml:space="preserve">a </w:t>
      </w:r>
      <w:r w:rsidR="00D91375" w:rsidRPr="0060399E">
        <w:t>adesão ao Órgão Gerenciador da ARP</w:t>
      </w:r>
      <w:r w:rsidR="00E5496C" w:rsidRPr="0060399E">
        <w:t xml:space="preserve"> (art. 1º, II, “</w:t>
      </w:r>
      <w:r w:rsidR="00FC24CB" w:rsidRPr="0060399E">
        <w:t>j</w:t>
      </w:r>
      <w:r w:rsidR="00E5496C" w:rsidRPr="0060399E">
        <w:t>”, da Portaria AGE(SECONT)/SEGER 01-R/2007).</w:t>
      </w:r>
    </w:p>
    <w:p w:rsidR="009B2171" w:rsidRPr="0060399E" w:rsidRDefault="009B2171" w:rsidP="003C3C4B">
      <w:pPr>
        <w:widowControl w:val="0"/>
      </w:pPr>
      <w:r w:rsidRPr="0060399E">
        <w:t xml:space="preserve">O documento deve conter, no mínimo, as seguintes informações: detalhamento técnico do objeto que se deseja adquirir, a necessidade da aquisição, </w:t>
      </w:r>
      <w:r w:rsidR="00CD2998" w:rsidRPr="0060399E">
        <w:t xml:space="preserve">o número e lote na ARP, </w:t>
      </w:r>
      <w:r w:rsidRPr="0060399E">
        <w:t>o quantitativo, o(s) local(is) onde será(ão) disponibilizado(s)</w:t>
      </w:r>
      <w:r w:rsidR="00EF22FD" w:rsidRPr="0060399E">
        <w:t xml:space="preserve"> e o valor estimado da aquisição</w:t>
      </w:r>
      <w:r w:rsidRPr="0060399E">
        <w:t xml:space="preserve"> (vide T03)</w:t>
      </w:r>
      <w:r w:rsidR="00EF22FD" w:rsidRPr="0060399E">
        <w:t>, bem como solicitar que o Órgão Gerenciador encaminhe os documentos comprobatórios da aquiescência ou não do Gestor da ARP e do aceite do Fornecedor, conforme o caso (art. 1º, I</w:t>
      </w:r>
      <w:r w:rsidR="00BA4C96" w:rsidRPr="0060399E">
        <w:t>I</w:t>
      </w:r>
      <w:r w:rsidR="00EF22FD" w:rsidRPr="0060399E">
        <w:t>, “</w:t>
      </w:r>
      <w:r w:rsidR="00BA4C96" w:rsidRPr="0060399E">
        <w:t>k</w:t>
      </w:r>
      <w:r w:rsidR="00EF22FD" w:rsidRPr="0060399E">
        <w:t>”, da Portaria AGE(SECONT)/SEGER 01-R/2007)</w:t>
      </w:r>
      <w:r w:rsidRPr="0060399E">
        <w:t>.</w:t>
      </w:r>
    </w:p>
    <w:p w:rsidR="00891EF1" w:rsidRPr="0060399E" w:rsidRDefault="00891EF1" w:rsidP="003C3C4B">
      <w:pPr>
        <w:widowControl w:val="0"/>
      </w:pPr>
      <w:r w:rsidRPr="0060399E">
        <w:t>T</w:t>
      </w:r>
      <w:r w:rsidR="00FE4440" w:rsidRPr="0060399E">
        <w:t>1</w:t>
      </w:r>
      <w:r w:rsidR="002671D4" w:rsidRPr="0060399E">
        <w:t>2</w:t>
      </w:r>
      <w:r w:rsidRPr="0060399E">
        <w:t xml:space="preserve"> – Tomar ciência</w:t>
      </w:r>
    </w:p>
    <w:p w:rsidR="001E4A84" w:rsidRPr="0060399E" w:rsidRDefault="001E4A84" w:rsidP="001E4A84">
      <w:pPr>
        <w:widowControl w:val="0"/>
      </w:pPr>
      <w:r w:rsidRPr="0060399E">
        <w:t>Juntar os documentos comprobatórios da aquiescência ou não do Gestor da ARP e do aceite do Fornecedor, conforme o caso.</w:t>
      </w:r>
    </w:p>
    <w:p w:rsidR="001E4A84" w:rsidRPr="0060399E" w:rsidRDefault="00393163" w:rsidP="001E4A84">
      <w:pPr>
        <w:pStyle w:val="N11"/>
        <w:widowControl w:val="0"/>
        <w:numPr>
          <w:ilvl w:val="0"/>
          <w:numId w:val="0"/>
        </w:numPr>
      </w:pPr>
      <w:r w:rsidRPr="0060399E">
        <w:t>Se não houver autorização, o Ordenador/Autoridade Competente encaminha o processo para ciência do Setor Requisitante (T13). Havendo autorização total ou parcial, encaminha os autos para o Setor Requisitante confirmar a demanda (T14)</w:t>
      </w:r>
      <w:r w:rsidR="001E4A84" w:rsidRPr="0060399E">
        <w:t>.</w:t>
      </w:r>
    </w:p>
    <w:p w:rsidR="0030150F" w:rsidRPr="0060399E" w:rsidRDefault="0030150F" w:rsidP="0030150F">
      <w:pPr>
        <w:widowControl w:val="0"/>
      </w:pPr>
      <w:r w:rsidRPr="0060399E">
        <w:t>T13 – Tomar ciência</w:t>
      </w:r>
    </w:p>
    <w:p w:rsidR="0030150F" w:rsidRPr="0060399E" w:rsidRDefault="0030150F" w:rsidP="0030150F">
      <w:pPr>
        <w:widowControl w:val="0"/>
      </w:pPr>
      <w:r w:rsidRPr="0060399E">
        <w:t>T14 – Confirmar demanda</w:t>
      </w:r>
    </w:p>
    <w:p w:rsidR="00393163" w:rsidRPr="0060399E" w:rsidRDefault="00393163" w:rsidP="00393163">
      <w:pPr>
        <w:widowControl w:val="0"/>
      </w:pPr>
      <w:r w:rsidRPr="0060399E">
        <w:t>O Setor Requisitante ratifica a necessidade da aquisição ou contratação relativa ao pedido de adesão devidamente autorizado pelo Órgão Gerenciador da ARP e pelo seu Ordenador de Despesa/Autoridade Competente.</w:t>
      </w:r>
    </w:p>
    <w:p w:rsidR="0030150F" w:rsidRPr="0060399E" w:rsidRDefault="00393163" w:rsidP="00393163">
      <w:pPr>
        <w:widowControl w:val="0"/>
      </w:pPr>
      <w:r w:rsidRPr="0060399E">
        <w:t>Verificada a necessidade de alterações ou desistência do pedido, o Setor Requisitante deve adotar as medidas necessárias para solucionar a questão, levando em consideração as tarefas anteriormente descritas neste tópico</w:t>
      </w:r>
      <w:r w:rsidR="0030150F" w:rsidRPr="0060399E">
        <w:t>.</w:t>
      </w:r>
    </w:p>
    <w:p w:rsidR="008776B3" w:rsidRPr="0060399E" w:rsidRDefault="0030150F" w:rsidP="008776B3">
      <w:pPr>
        <w:widowControl w:val="0"/>
      </w:pPr>
      <w:r w:rsidRPr="0060399E">
        <w:t>T15</w:t>
      </w:r>
      <w:r w:rsidR="0046191F" w:rsidRPr="0060399E">
        <w:t xml:space="preserve"> – </w:t>
      </w:r>
      <w:r w:rsidR="006E4F3C" w:rsidRPr="0060399E">
        <w:t xml:space="preserve">Verificar necessidade de </w:t>
      </w:r>
      <w:r w:rsidR="005163C5" w:rsidRPr="0060399E">
        <w:t xml:space="preserve">análise </w:t>
      </w:r>
      <w:r w:rsidR="0046191F" w:rsidRPr="0060399E">
        <w:t>jurídica</w:t>
      </w:r>
    </w:p>
    <w:p w:rsidR="005163C5" w:rsidRPr="0060399E" w:rsidRDefault="005163C5" w:rsidP="005163C5">
      <w:pPr>
        <w:widowControl w:val="0"/>
      </w:pPr>
      <w:r w:rsidRPr="0060399E">
        <w:t>Se a contratação atender aos requisitos do Enunciado CPGE n.º 36, o processo não deve ser encaminhado para análise jurídica (T16, 17 e 18)</w:t>
      </w:r>
      <w:r w:rsidR="00656D17" w:rsidRPr="0060399E">
        <w:t>, seguindo para T19</w:t>
      </w:r>
      <w:r w:rsidRPr="0060399E">
        <w:t>.</w:t>
      </w:r>
    </w:p>
    <w:p w:rsidR="005163C5" w:rsidRPr="0060399E" w:rsidRDefault="005163C5" w:rsidP="005163C5">
      <w:pPr>
        <w:widowControl w:val="0"/>
      </w:pPr>
      <w:r w:rsidRPr="0060399E">
        <w:t xml:space="preserve">Se a análise jurídica </w:t>
      </w:r>
      <w:r w:rsidR="00656D17" w:rsidRPr="0060399E">
        <w:t xml:space="preserve">não </w:t>
      </w:r>
      <w:r w:rsidRPr="0060399E">
        <w:t>for dispensada, o processo segue para T1</w:t>
      </w:r>
      <w:r w:rsidR="00656D17" w:rsidRPr="0060399E">
        <w:t>6</w:t>
      </w:r>
      <w:r w:rsidRPr="0060399E">
        <w:t>.</w:t>
      </w:r>
    </w:p>
    <w:p w:rsidR="005163C5" w:rsidRPr="0060399E" w:rsidRDefault="005163C5" w:rsidP="005163C5">
      <w:pPr>
        <w:widowControl w:val="0"/>
      </w:pPr>
      <w:r w:rsidRPr="0060399E">
        <w:t>T16 – Encaminhar para análise jurídica</w:t>
      </w:r>
    </w:p>
    <w:p w:rsidR="00CC7193" w:rsidRPr="0060399E" w:rsidRDefault="00590A03" w:rsidP="008776B3">
      <w:pPr>
        <w:widowControl w:val="0"/>
      </w:pPr>
      <w:r w:rsidRPr="0060399E">
        <w:t>T17</w:t>
      </w:r>
      <w:r w:rsidR="00CC7193" w:rsidRPr="0060399E">
        <w:t xml:space="preserve"> – Emitir parecer</w:t>
      </w:r>
    </w:p>
    <w:p w:rsidR="008776B3" w:rsidRPr="0060399E" w:rsidRDefault="0030150F" w:rsidP="008776B3">
      <w:pPr>
        <w:widowControl w:val="0"/>
      </w:pPr>
      <w:r w:rsidRPr="0060399E">
        <w:t>T1</w:t>
      </w:r>
      <w:r w:rsidR="00590A03" w:rsidRPr="0060399E">
        <w:t>8</w:t>
      </w:r>
      <w:r w:rsidR="0046191F" w:rsidRPr="0060399E">
        <w:t xml:space="preserve"> – </w:t>
      </w:r>
      <w:r w:rsidR="00CC7193" w:rsidRPr="0060399E">
        <w:t>Atender as recomendações</w:t>
      </w:r>
    </w:p>
    <w:p w:rsidR="00BF2A21" w:rsidRPr="0060399E" w:rsidRDefault="00BF2A21" w:rsidP="00BF2A21">
      <w:pPr>
        <w:widowControl w:val="0"/>
      </w:pPr>
      <w:r w:rsidRPr="0060399E">
        <w:t xml:space="preserve">Realizada a análise jurídica, o Setor </w:t>
      </w:r>
      <w:r w:rsidR="00393163" w:rsidRPr="0060399E">
        <w:t>Requisitante</w:t>
      </w:r>
      <w:r w:rsidRPr="0060399E">
        <w:t xml:space="preserve"> deverá examinar as recomendações do parecer, se existirem, e providenciar os ajustes e/ou justificativas de sua competência, encaminhando a outro setor competente, para o mesmo fim, se necessário. O Setor </w:t>
      </w:r>
      <w:r w:rsidR="00393163" w:rsidRPr="0060399E">
        <w:t>Requisitante</w:t>
      </w:r>
      <w:r w:rsidRPr="0060399E">
        <w:t xml:space="preserve"> deverá juntar os autos manifestação relacionando todas as recomendações da análise jurídica e as respectivas providências adotadas.</w:t>
      </w:r>
    </w:p>
    <w:p w:rsidR="00BF2A21" w:rsidRPr="0060399E" w:rsidRDefault="00BF2A21" w:rsidP="00BF2A21">
      <w:pPr>
        <w:widowControl w:val="0"/>
      </w:pPr>
      <w:r w:rsidRPr="0060399E">
        <w:t>T</w:t>
      </w:r>
      <w:r w:rsidR="004F647D" w:rsidRPr="0060399E">
        <w:t>19</w:t>
      </w:r>
      <w:r w:rsidRPr="0060399E">
        <w:t xml:space="preserve"> – Verificar necessidade de </w:t>
      </w:r>
      <w:r w:rsidR="00CC7193" w:rsidRPr="0060399E">
        <w:t>análise econômico-financeira</w:t>
      </w:r>
    </w:p>
    <w:p w:rsidR="00BF2A21" w:rsidRPr="0060399E" w:rsidRDefault="00BF2A21" w:rsidP="00BF2A21">
      <w:pPr>
        <w:widowControl w:val="0"/>
      </w:pPr>
      <w:r w:rsidRPr="0060399E">
        <w:t xml:space="preserve">Se a contratação atender aos requisitos da Resolução CONSECT 009/2018, o processo </w:t>
      </w:r>
      <w:r w:rsidR="00524B79" w:rsidRPr="0060399E">
        <w:t xml:space="preserve">deve ser </w:t>
      </w:r>
      <w:r w:rsidRPr="0060399E">
        <w:t xml:space="preserve">encaminhado para análise </w:t>
      </w:r>
      <w:r w:rsidR="00CC7193" w:rsidRPr="0060399E">
        <w:t>econômico-financeira</w:t>
      </w:r>
      <w:r w:rsidRPr="0060399E">
        <w:t xml:space="preserve"> (T</w:t>
      </w:r>
      <w:r w:rsidR="004F647D" w:rsidRPr="0060399E">
        <w:t>20</w:t>
      </w:r>
      <w:r w:rsidR="00524B79" w:rsidRPr="0060399E">
        <w:t xml:space="preserve">, </w:t>
      </w:r>
      <w:r w:rsidR="0030150F" w:rsidRPr="0060399E">
        <w:t>2</w:t>
      </w:r>
      <w:r w:rsidR="004F647D" w:rsidRPr="0060399E">
        <w:t>1</w:t>
      </w:r>
      <w:r w:rsidR="0030150F" w:rsidRPr="0060399E">
        <w:t xml:space="preserve"> e 2</w:t>
      </w:r>
      <w:r w:rsidR="004F647D" w:rsidRPr="0060399E">
        <w:t>2</w:t>
      </w:r>
      <w:r w:rsidRPr="0060399E">
        <w:t>).</w:t>
      </w:r>
    </w:p>
    <w:p w:rsidR="00BF2A21" w:rsidRPr="0060399E" w:rsidRDefault="00BF2A21" w:rsidP="003A7FCA">
      <w:pPr>
        <w:widowControl w:val="0"/>
      </w:pPr>
      <w:r w:rsidRPr="0060399E">
        <w:t xml:space="preserve">Se a </w:t>
      </w:r>
      <w:r w:rsidR="00343845" w:rsidRPr="0060399E">
        <w:t>análise</w:t>
      </w:r>
      <w:r w:rsidRPr="0060399E">
        <w:t xml:space="preserve"> </w:t>
      </w:r>
      <w:r w:rsidR="00343845" w:rsidRPr="0060399E">
        <w:t>econômico-financeira</w:t>
      </w:r>
      <w:r w:rsidRPr="0060399E">
        <w:t xml:space="preserve"> for dispensada, </w:t>
      </w:r>
      <w:r w:rsidR="00524B79" w:rsidRPr="0060399E">
        <w:t xml:space="preserve">o processo segue para </w:t>
      </w:r>
      <w:r w:rsidR="00E36743" w:rsidRPr="0060399E">
        <w:t>T2</w:t>
      </w:r>
      <w:r w:rsidR="004F647D" w:rsidRPr="0060399E">
        <w:t>3</w:t>
      </w:r>
      <w:r w:rsidR="00E36743" w:rsidRPr="0060399E">
        <w:t>.</w:t>
      </w:r>
    </w:p>
    <w:p w:rsidR="00BF2A21" w:rsidRPr="0060399E" w:rsidRDefault="00BF2A21" w:rsidP="00BF2A21">
      <w:pPr>
        <w:widowControl w:val="0"/>
      </w:pPr>
      <w:r w:rsidRPr="0060399E">
        <w:t>T</w:t>
      </w:r>
      <w:r w:rsidR="004F647D" w:rsidRPr="0060399E">
        <w:t>20</w:t>
      </w:r>
      <w:r w:rsidRPr="0060399E">
        <w:t xml:space="preserve"> – Encaminhar </w:t>
      </w:r>
      <w:r w:rsidR="00343845" w:rsidRPr="0060399E">
        <w:t>para análise econômico-financeira</w:t>
      </w:r>
    </w:p>
    <w:p w:rsidR="00BF2A21" w:rsidRPr="0060399E" w:rsidRDefault="00BF2A21" w:rsidP="00BF2A21">
      <w:pPr>
        <w:widowControl w:val="0"/>
      </w:pPr>
      <w:r w:rsidRPr="0060399E">
        <w:t>T</w:t>
      </w:r>
      <w:r w:rsidR="0086728E" w:rsidRPr="0060399E">
        <w:t>2</w:t>
      </w:r>
      <w:r w:rsidR="004F647D" w:rsidRPr="0060399E">
        <w:t>1</w:t>
      </w:r>
      <w:r w:rsidRPr="0060399E">
        <w:t xml:space="preserve"> – Emitir Manifestação</w:t>
      </w:r>
    </w:p>
    <w:p w:rsidR="00BF2A21" w:rsidRPr="0060399E" w:rsidRDefault="00BF2A21" w:rsidP="00BF2A21">
      <w:pPr>
        <w:widowControl w:val="0"/>
      </w:pPr>
      <w:r w:rsidRPr="0060399E">
        <w:t>T</w:t>
      </w:r>
      <w:r w:rsidR="0086728E" w:rsidRPr="0060399E">
        <w:t>2</w:t>
      </w:r>
      <w:r w:rsidR="004F647D" w:rsidRPr="0060399E">
        <w:t>2</w:t>
      </w:r>
      <w:r w:rsidRPr="0060399E">
        <w:t xml:space="preserve"> – Atender as recomendações</w:t>
      </w:r>
    </w:p>
    <w:p w:rsidR="003A7FCA" w:rsidRPr="0060399E" w:rsidRDefault="003A7FCA" w:rsidP="003A7FCA">
      <w:pPr>
        <w:widowControl w:val="0"/>
      </w:pPr>
      <w:r w:rsidRPr="0060399E">
        <w:t xml:space="preserve">Realizada a análise econômico-financeira, o Setor </w:t>
      </w:r>
      <w:r w:rsidR="00393163" w:rsidRPr="0060399E">
        <w:t>Requisitante</w:t>
      </w:r>
      <w:r w:rsidRPr="0060399E">
        <w:t xml:space="preserve"> deverá examinar as recomendações do parecer, se existirem, e providenciar os ajustes e/ou justificativas de sua competência, encaminhando a outro setor competente, para o mesmo fim, se necessário. O Setor </w:t>
      </w:r>
      <w:r w:rsidR="00393163" w:rsidRPr="0060399E">
        <w:t>Requisitante</w:t>
      </w:r>
      <w:r w:rsidRPr="0060399E">
        <w:t xml:space="preserve"> deverá juntar os autos manifestação relacionando todas as recomendações da análise econômico-financeira e as respectivas providências adotadas.</w:t>
      </w:r>
    </w:p>
    <w:p w:rsidR="00B85490" w:rsidRPr="0060399E" w:rsidRDefault="00B85490" w:rsidP="00B85490">
      <w:pPr>
        <w:widowControl w:val="0"/>
      </w:pPr>
      <w:r w:rsidRPr="0060399E">
        <w:t>T2</w:t>
      </w:r>
      <w:r w:rsidR="00F659A4" w:rsidRPr="0060399E">
        <w:t>3</w:t>
      </w:r>
      <w:r w:rsidRPr="0060399E">
        <w:t xml:space="preserve"> – Encaminhar para emissão de reserva</w:t>
      </w:r>
      <w:r w:rsidR="00916A65" w:rsidRPr="0060399E">
        <w:t xml:space="preserve"> orçamentária</w:t>
      </w:r>
    </w:p>
    <w:p w:rsidR="00B85490" w:rsidRPr="0060399E" w:rsidRDefault="00B85490" w:rsidP="00B85490">
      <w:pPr>
        <w:widowControl w:val="0"/>
      </w:pPr>
      <w:r w:rsidRPr="0060399E">
        <w:t>T2</w:t>
      </w:r>
      <w:r w:rsidR="00F659A4" w:rsidRPr="0060399E">
        <w:t>4</w:t>
      </w:r>
      <w:r w:rsidRPr="0060399E">
        <w:t xml:space="preserve"> – Emitir nota de reserva</w:t>
      </w:r>
    </w:p>
    <w:p w:rsidR="00B85490" w:rsidRPr="0060399E" w:rsidRDefault="00B85490" w:rsidP="00B85490">
      <w:pPr>
        <w:widowControl w:val="0"/>
      </w:pPr>
      <w:r w:rsidRPr="0060399E">
        <w:t>T2</w:t>
      </w:r>
      <w:r w:rsidR="00F659A4" w:rsidRPr="0060399E">
        <w:t>5</w:t>
      </w:r>
      <w:r w:rsidRPr="0060399E">
        <w:t xml:space="preserve"> – Autorizar a contratação e emissão de empenho</w:t>
      </w:r>
    </w:p>
    <w:p w:rsidR="00CF763A" w:rsidRPr="0060399E" w:rsidRDefault="00CF763A" w:rsidP="00B85490">
      <w:pPr>
        <w:widowControl w:val="0"/>
        <w:rPr>
          <w:u w:val="single"/>
        </w:rPr>
      </w:pPr>
      <w:r w:rsidRPr="0060399E">
        <w:t>Nessa atividade, o Ordenador/Autoridade Competente deverá declarar o cumprimento dos incisos I e II do art. 16 da Lei de Responsabilidade Fiscal, que a despesa se encontra adequada com a Lei Orçamentária Anual e compatível com a Lei de Diretrizes Orçamentárias e ainda com o Plano Plurianual, conforme art. 16 da Lei Federal 101/2000, se cabível ao caso.</w:t>
      </w:r>
    </w:p>
    <w:p w:rsidR="005176A4" w:rsidRPr="0060399E" w:rsidRDefault="005176A4" w:rsidP="003C3C4B">
      <w:pPr>
        <w:widowControl w:val="0"/>
      </w:pPr>
      <w:r w:rsidRPr="0060399E">
        <w:t>T</w:t>
      </w:r>
      <w:r w:rsidR="00B85490" w:rsidRPr="0060399E">
        <w:t>2</w:t>
      </w:r>
      <w:r w:rsidR="00F659A4" w:rsidRPr="0060399E">
        <w:t>6</w:t>
      </w:r>
      <w:r w:rsidRPr="0060399E">
        <w:t xml:space="preserve"> – </w:t>
      </w:r>
      <w:r w:rsidR="00A4267E" w:rsidRPr="0060399E">
        <w:t>Publicar aviso de adesão</w:t>
      </w:r>
    </w:p>
    <w:p w:rsidR="00B11FC7" w:rsidRPr="0060399E" w:rsidRDefault="008706D6" w:rsidP="00B11FC7">
      <w:pPr>
        <w:pStyle w:val="N11"/>
        <w:widowControl w:val="0"/>
        <w:numPr>
          <w:ilvl w:val="0"/>
          <w:numId w:val="0"/>
        </w:numPr>
      </w:pPr>
      <w:r w:rsidRPr="0060399E">
        <w:rPr>
          <w:rFonts w:cs="Arial"/>
          <w:szCs w:val="24"/>
        </w:rPr>
        <w:t xml:space="preserve">Elaborar o resumo do </w:t>
      </w:r>
      <w:r w:rsidR="00812453" w:rsidRPr="0060399E">
        <w:rPr>
          <w:rFonts w:cs="Arial"/>
          <w:szCs w:val="24"/>
        </w:rPr>
        <w:t>“</w:t>
      </w:r>
      <w:r w:rsidRPr="0060399E">
        <w:rPr>
          <w:rFonts w:cs="Arial"/>
          <w:szCs w:val="24"/>
        </w:rPr>
        <w:t>Aviso de Adesão</w:t>
      </w:r>
      <w:r w:rsidR="00812453" w:rsidRPr="0060399E">
        <w:rPr>
          <w:rFonts w:cs="Arial"/>
          <w:szCs w:val="24"/>
        </w:rPr>
        <w:t>”</w:t>
      </w:r>
      <w:r w:rsidR="00D10360" w:rsidRPr="0060399E">
        <w:rPr>
          <w:rFonts w:cs="Arial"/>
          <w:szCs w:val="24"/>
        </w:rPr>
        <w:t xml:space="preserve"> a ARP</w:t>
      </w:r>
      <w:r w:rsidRPr="0060399E">
        <w:rPr>
          <w:rFonts w:cs="Arial"/>
          <w:szCs w:val="24"/>
        </w:rPr>
        <w:t xml:space="preserve"> e providenciar sua publicação no Diário Oficial do Estado de forma imediata</w:t>
      </w:r>
      <w:r w:rsidR="00B11FC7" w:rsidRPr="0060399E">
        <w:rPr>
          <w:rFonts w:cs="Arial"/>
          <w:szCs w:val="24"/>
        </w:rPr>
        <w:t xml:space="preserve"> (</w:t>
      </w:r>
      <w:r w:rsidR="00B11FC7" w:rsidRPr="0060399E">
        <w:t xml:space="preserve">art. 1º, </w:t>
      </w:r>
      <w:r w:rsidR="003A7FCA" w:rsidRPr="0060399E">
        <w:t>I</w:t>
      </w:r>
      <w:r w:rsidR="00B11FC7" w:rsidRPr="0060399E">
        <w:t>I, “</w:t>
      </w:r>
      <w:r w:rsidR="003A7FCA" w:rsidRPr="0060399E">
        <w:t>o</w:t>
      </w:r>
      <w:r w:rsidR="00B11FC7" w:rsidRPr="0060399E">
        <w:t>”, da Portaria AGE(SECONT)/SEGER 01-R/2007).</w:t>
      </w:r>
    </w:p>
    <w:p w:rsidR="003318D8" w:rsidRPr="0060399E" w:rsidRDefault="00996132" w:rsidP="003C3C4B">
      <w:pPr>
        <w:widowControl w:val="0"/>
      </w:pPr>
      <w:r w:rsidRPr="0060399E">
        <w:t>T2</w:t>
      </w:r>
      <w:r w:rsidR="00F659A4" w:rsidRPr="0060399E">
        <w:t>7</w:t>
      </w:r>
      <w:r w:rsidR="003318D8" w:rsidRPr="0060399E">
        <w:t xml:space="preserve"> – Encaminhar o processo para formalização de termo de contrato ou instrumento </w:t>
      </w:r>
      <w:r w:rsidR="007A1EC6" w:rsidRPr="0060399E">
        <w:t>equivalente</w:t>
      </w:r>
    </w:p>
    <w:p w:rsidR="00901E24" w:rsidRPr="0060399E" w:rsidRDefault="0075393F" w:rsidP="003C3C4B">
      <w:pPr>
        <w:widowControl w:val="0"/>
      </w:pPr>
      <w:r w:rsidRPr="0060399E">
        <w:t xml:space="preserve">O processo deve ser encaminhado ao Setor de Contratos ou </w:t>
      </w:r>
      <w:r w:rsidR="00540681" w:rsidRPr="0060399E">
        <w:t>correspondente</w:t>
      </w:r>
      <w:r w:rsidRPr="0060399E">
        <w:t xml:space="preserve">, para procedimentos quanto à formalização do contrato ou instrumento </w:t>
      </w:r>
      <w:r w:rsidR="007A1EC6" w:rsidRPr="0060399E">
        <w:t>equivalente</w:t>
      </w:r>
      <w:r w:rsidRPr="0060399E">
        <w:t>, conforme Norma de Procedimento</w:t>
      </w:r>
      <w:r w:rsidR="00A162BA" w:rsidRPr="0060399E">
        <w:t xml:space="preserve"> SCL Nº 002 – </w:t>
      </w:r>
      <w:r w:rsidRPr="0060399E">
        <w:t>Formalização e Publicação de Contratos Administrativos.</w:t>
      </w:r>
    </w:p>
    <w:p w:rsidR="00C67221" w:rsidRPr="0060399E" w:rsidRDefault="007D0CF9" w:rsidP="003C3C4B">
      <w:pPr>
        <w:widowControl w:val="0"/>
      </w:pPr>
      <w:r w:rsidRPr="0060399E">
        <w:t>N</w:t>
      </w:r>
      <w:r w:rsidR="00C67221" w:rsidRPr="0060399E">
        <w:t xml:space="preserve">as adesões a ARP que não geram a celebração de contratos administrativos, o Órgão </w:t>
      </w:r>
      <w:r w:rsidRPr="0060399E">
        <w:t>Requerente</w:t>
      </w:r>
      <w:r w:rsidR="00C67221" w:rsidRPr="0060399E">
        <w:t xml:space="preserve"> deve utilizá-la de uma única vez, isto é, não pode executá-la de forma parcelada (art. 1º, I, da Resolução CONCET 001/2015).</w:t>
      </w:r>
    </w:p>
    <w:p w:rsidR="00C67221" w:rsidRPr="0060399E" w:rsidRDefault="00C67221" w:rsidP="003C3C4B">
      <w:pPr>
        <w:widowControl w:val="0"/>
      </w:pPr>
    </w:p>
    <w:p w:rsidR="00C67221" w:rsidRPr="0060399E" w:rsidRDefault="00C67221" w:rsidP="003C3C4B">
      <w:pPr>
        <w:widowControl w:val="0"/>
        <w:sectPr w:rsidR="00C67221" w:rsidRPr="0060399E" w:rsidSect="00134432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F7D57" w:rsidRPr="0060399E" w:rsidRDefault="00DC44DF" w:rsidP="003F104D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  <w:sectPr w:rsidR="006F7D57" w:rsidRPr="0060399E" w:rsidSect="00A272A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 w:rsidRPr="0060399E">
        <w:rPr>
          <w:noProof/>
          <w:lang w:eastAsia="pt-BR"/>
        </w:rPr>
        <w:drawing>
          <wp:inline distT="0" distB="0" distL="0" distR="0" wp14:anchorId="05732ACE" wp14:editId="4A7150FA">
            <wp:extent cx="9251950" cy="577215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505"/>
                    <a:stretch/>
                  </pic:blipFill>
                  <pic:spPr bwMode="auto">
                    <a:xfrm>
                      <a:off x="0" y="0"/>
                      <a:ext cx="9251950" cy="577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10C" w:rsidRPr="0060399E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INFORMAÇÕES ADICIONAIS</w:t>
      </w:r>
    </w:p>
    <w:p w:rsidR="00AD0E4E" w:rsidRPr="0060399E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60399E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60399E">
        <w:t>córdão</w:t>
      </w:r>
      <w:r w:rsidR="00B11160" w:rsidRPr="0060399E">
        <w:t xml:space="preserve"> </w:t>
      </w:r>
      <w:r w:rsidR="00AD0E4E" w:rsidRPr="0060399E">
        <w:t xml:space="preserve">413/2013 </w:t>
      </w:r>
      <w:r w:rsidR="00F61BEA" w:rsidRPr="0060399E">
        <w:t>–</w:t>
      </w:r>
      <w:r w:rsidR="00AD0E4E" w:rsidRPr="0060399E">
        <w:t xml:space="preserve"> TCU Plenário)</w:t>
      </w:r>
      <w:r w:rsidR="002015DB" w:rsidRPr="0060399E">
        <w:t>.</w:t>
      </w:r>
    </w:p>
    <w:p w:rsidR="00A22011" w:rsidRPr="0060399E" w:rsidRDefault="00A22011" w:rsidP="00AD741F">
      <w:pPr>
        <w:pStyle w:val="N11"/>
        <w:widowControl w:val="0"/>
        <w:numPr>
          <w:ilvl w:val="0"/>
          <w:numId w:val="9"/>
        </w:numPr>
        <w:tabs>
          <w:tab w:val="left" w:pos="993"/>
        </w:tabs>
        <w:ind w:left="993" w:hanging="709"/>
      </w:pPr>
      <w:r w:rsidRPr="0060399E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ao princípio da moralidade.</w:t>
      </w:r>
    </w:p>
    <w:p w:rsidR="00AD0E4E" w:rsidRPr="0060399E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60399E">
        <w:t>As atribuições de responsabilidade do Ordenador</w:t>
      </w:r>
      <w:r w:rsidR="001A35D9" w:rsidRPr="0060399E">
        <w:t>/Autoridade Competente</w:t>
      </w:r>
      <w:r w:rsidRPr="0060399E">
        <w:t xml:space="preserve"> poderão ser exercidas por diferentes servidores em um mesmo processo, na hipótese de haver delegação para esse fim.</w:t>
      </w:r>
    </w:p>
    <w:p w:rsidR="00AD0E4E" w:rsidRPr="0060399E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60399E">
        <w:t>A pesquisa de preços pode ser realizada pelo próprio Setor Requisitante, por exemplo, no caso de objetos que demandem um maior conhecimento técnico para avaliação dos orçamentos, ou conforme a organização administrativa e distribuição de competê</w:t>
      </w:r>
      <w:r w:rsidR="00AD0E4E" w:rsidRPr="0060399E">
        <w:t>ncias de cada órgão ou entidade</w:t>
      </w:r>
      <w:r w:rsidR="00B57A7C" w:rsidRPr="0060399E">
        <w:t>.</w:t>
      </w:r>
    </w:p>
    <w:p w:rsidR="00AD0E4E" w:rsidRPr="0060399E" w:rsidRDefault="0057461F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60399E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A22011" w:rsidRPr="0060399E">
        <w:t>.</w:t>
      </w:r>
    </w:p>
    <w:p w:rsidR="002D3D41" w:rsidRPr="0060399E" w:rsidRDefault="002D3D41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60399E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60399E" w:rsidRDefault="00B57A7C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ANEXOS</w:t>
      </w:r>
    </w:p>
    <w:p w:rsidR="007D78A8" w:rsidRPr="0060399E" w:rsidRDefault="006B24A5" w:rsidP="003C3C4B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60399E">
        <w:rPr>
          <w:b w:val="0"/>
        </w:rPr>
        <w:t>Não aplicável.</w:t>
      </w:r>
    </w:p>
    <w:p w:rsidR="00690AC7" w:rsidRPr="0060399E" w:rsidRDefault="00690AC7" w:rsidP="00690AC7">
      <w:pPr>
        <w:pStyle w:val="N11"/>
        <w:numPr>
          <w:ilvl w:val="0"/>
          <w:numId w:val="0"/>
        </w:numPr>
      </w:pPr>
    </w:p>
    <w:p w:rsidR="00690AC7" w:rsidRPr="0060399E" w:rsidRDefault="00690AC7" w:rsidP="00690AC7">
      <w:pPr>
        <w:pStyle w:val="N11"/>
        <w:numPr>
          <w:ilvl w:val="0"/>
          <w:numId w:val="0"/>
        </w:numPr>
      </w:pPr>
    </w:p>
    <w:p w:rsidR="00690AC7" w:rsidRPr="0060399E" w:rsidRDefault="00690AC7" w:rsidP="00690AC7">
      <w:pPr>
        <w:pStyle w:val="N11"/>
        <w:numPr>
          <w:ilvl w:val="0"/>
          <w:numId w:val="0"/>
        </w:numPr>
      </w:pPr>
    </w:p>
    <w:p w:rsidR="00690AC7" w:rsidRPr="0060399E" w:rsidRDefault="00690AC7" w:rsidP="00690AC7">
      <w:pPr>
        <w:pStyle w:val="N11"/>
        <w:numPr>
          <w:ilvl w:val="0"/>
          <w:numId w:val="0"/>
        </w:numPr>
      </w:pPr>
    </w:p>
    <w:p w:rsidR="00690AC7" w:rsidRPr="0060399E" w:rsidRDefault="00690AC7" w:rsidP="00690AC7">
      <w:pPr>
        <w:pStyle w:val="N11"/>
        <w:numPr>
          <w:ilvl w:val="0"/>
          <w:numId w:val="0"/>
        </w:numPr>
      </w:pPr>
    </w:p>
    <w:p w:rsidR="008639CE" w:rsidRPr="0060399E" w:rsidRDefault="00A47C01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60399E">
        <w:t>ASSINATURAS</w:t>
      </w:r>
    </w:p>
    <w:tbl>
      <w:tblPr>
        <w:tblStyle w:val="Tabelacomgrade2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388"/>
      </w:tblGrid>
      <w:tr w:rsidR="0060399E" w:rsidRPr="0060399E" w:rsidTr="0041407E">
        <w:trPr>
          <w:trHeight w:val="345"/>
        </w:trPr>
        <w:tc>
          <w:tcPr>
            <w:tcW w:w="8953" w:type="dxa"/>
            <w:gridSpan w:val="2"/>
            <w:vAlign w:val="center"/>
          </w:tcPr>
          <w:p w:rsidR="00CE10D4" w:rsidRPr="0060399E" w:rsidRDefault="00CE10D4" w:rsidP="00005C35">
            <w:pPr>
              <w:widowControl w:val="0"/>
              <w:spacing w:before="0" w:after="0"/>
              <w:rPr>
                <w:szCs w:val="24"/>
              </w:rPr>
            </w:pPr>
            <w:r w:rsidRPr="0060399E">
              <w:rPr>
                <w:szCs w:val="24"/>
              </w:rPr>
              <w:t xml:space="preserve">EQUIPE DE </w:t>
            </w:r>
            <w:r w:rsidR="00005C35" w:rsidRPr="0060399E">
              <w:rPr>
                <w:szCs w:val="24"/>
              </w:rPr>
              <w:t>REVIS</w:t>
            </w:r>
            <w:r w:rsidRPr="0060399E">
              <w:rPr>
                <w:szCs w:val="24"/>
              </w:rPr>
              <w:t>ÃO – SCL Nº 0</w:t>
            </w:r>
            <w:r w:rsidR="00BD1D04" w:rsidRPr="0060399E">
              <w:rPr>
                <w:szCs w:val="24"/>
              </w:rPr>
              <w:t>16</w:t>
            </w:r>
            <w:r w:rsidR="003F104D" w:rsidRPr="0060399E">
              <w:rPr>
                <w:szCs w:val="24"/>
              </w:rPr>
              <w:t>, Versão 02</w:t>
            </w:r>
            <w:r w:rsidRPr="0060399E">
              <w:rPr>
                <w:szCs w:val="24"/>
              </w:rPr>
              <w:t>:</w:t>
            </w:r>
          </w:p>
        </w:tc>
      </w:tr>
      <w:tr w:rsidR="0060399E" w:rsidRPr="0060399E" w:rsidTr="003F104D">
        <w:tc>
          <w:tcPr>
            <w:tcW w:w="4565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Luciana Lopes Pinheiro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Gerente de Licitações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Henrique José Grilo de Almeida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Analista do Executivo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60399E" w:rsidRPr="0060399E" w:rsidTr="003F104D">
        <w:tc>
          <w:tcPr>
            <w:tcW w:w="4565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Carolina Bragatto Dal Piaz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Analista do Executivo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Heloiza da Rocha Rodrigues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Analista do Executivo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60399E" w:rsidRPr="0060399E" w:rsidTr="003F104D">
        <w:tc>
          <w:tcPr>
            <w:tcW w:w="4565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Luiz Felipe Pimenta Gramelisch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Analista de Gestão de Serviços Gráficos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3F104D" w:rsidRPr="0060399E" w:rsidRDefault="005B4AA8" w:rsidP="005B4AA8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Revisado em 18</w:t>
            </w:r>
            <w:r w:rsidR="003F104D" w:rsidRPr="0060399E">
              <w:rPr>
                <w:szCs w:val="24"/>
              </w:rPr>
              <w:t>/</w:t>
            </w:r>
            <w:r>
              <w:rPr>
                <w:szCs w:val="24"/>
              </w:rPr>
              <w:t>12</w:t>
            </w:r>
            <w:r w:rsidR="003F104D" w:rsidRPr="0060399E">
              <w:rPr>
                <w:szCs w:val="24"/>
              </w:rPr>
              <w:t>/2019</w:t>
            </w:r>
          </w:p>
        </w:tc>
      </w:tr>
      <w:tr w:rsidR="0060399E" w:rsidRPr="0060399E" w:rsidTr="0041407E">
        <w:tc>
          <w:tcPr>
            <w:tcW w:w="8953" w:type="dxa"/>
            <w:gridSpan w:val="2"/>
            <w:vAlign w:val="center"/>
          </w:tcPr>
          <w:p w:rsidR="003F104D" w:rsidRPr="0060399E" w:rsidRDefault="003F104D" w:rsidP="003F104D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60399E">
              <w:rPr>
                <w:szCs w:val="24"/>
              </w:rPr>
              <w:t>APROVAÇÃO:</w:t>
            </w:r>
          </w:p>
        </w:tc>
      </w:tr>
      <w:tr w:rsidR="0060399E" w:rsidRPr="0060399E" w:rsidTr="003F104D">
        <w:tc>
          <w:tcPr>
            <w:tcW w:w="4565" w:type="dxa"/>
            <w:vAlign w:val="center"/>
          </w:tcPr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Lenise Menezes Loureiro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Secretária de Estado de Gestão e Recursos Humanos</w:t>
            </w:r>
          </w:p>
          <w:p w:rsidR="003F104D" w:rsidRPr="0060399E" w:rsidRDefault="003F104D" w:rsidP="003F104D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3F104D" w:rsidRPr="0060399E" w:rsidRDefault="003F104D" w:rsidP="005B4AA8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0399E">
              <w:rPr>
                <w:szCs w:val="24"/>
              </w:rPr>
              <w:t>Aprovado em</w:t>
            </w:r>
            <w:r w:rsidR="005B4AA8">
              <w:rPr>
                <w:szCs w:val="24"/>
              </w:rPr>
              <w:t xml:space="preserve"> 18</w:t>
            </w:r>
            <w:r w:rsidRPr="0060399E">
              <w:rPr>
                <w:szCs w:val="24"/>
              </w:rPr>
              <w:t>/</w:t>
            </w:r>
            <w:r w:rsidR="005B4AA8">
              <w:rPr>
                <w:szCs w:val="24"/>
              </w:rPr>
              <w:t>12</w:t>
            </w:r>
            <w:r w:rsidRPr="0060399E">
              <w:rPr>
                <w:szCs w:val="24"/>
              </w:rPr>
              <w:t>/2019</w:t>
            </w:r>
          </w:p>
        </w:tc>
      </w:tr>
    </w:tbl>
    <w:p w:rsidR="00CE10D4" w:rsidRPr="0060399E" w:rsidRDefault="00CE10D4" w:rsidP="00CE10D4">
      <w:pPr>
        <w:pStyle w:val="N11"/>
        <w:numPr>
          <w:ilvl w:val="0"/>
          <w:numId w:val="0"/>
        </w:numPr>
        <w:jc w:val="left"/>
        <w:rPr>
          <w:rFonts w:cs="Arial"/>
          <w:szCs w:val="24"/>
        </w:rPr>
      </w:pPr>
      <w:bookmarkStart w:id="0" w:name="_GoBack"/>
      <w:bookmarkEnd w:id="0"/>
    </w:p>
    <w:p w:rsidR="00C20A6E" w:rsidRPr="0060399E" w:rsidRDefault="00C20A6E" w:rsidP="003C3C4B">
      <w:pPr>
        <w:pStyle w:val="N11"/>
        <w:widowControl w:val="0"/>
        <w:numPr>
          <w:ilvl w:val="0"/>
          <w:numId w:val="0"/>
        </w:numPr>
        <w:jc w:val="left"/>
        <w:rPr>
          <w:rFonts w:cs="Arial"/>
          <w:szCs w:val="24"/>
        </w:rPr>
      </w:pPr>
    </w:p>
    <w:sectPr w:rsidR="00C20A6E" w:rsidRPr="0060399E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6E" w:rsidRDefault="0027136E" w:rsidP="00DF144B">
      <w:pPr>
        <w:spacing w:before="0" w:after="0"/>
      </w:pPr>
      <w:r>
        <w:separator/>
      </w:r>
    </w:p>
  </w:endnote>
  <w:endnote w:type="continuationSeparator" w:id="0">
    <w:p w:rsidR="0027136E" w:rsidRDefault="0027136E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6E" w:rsidRDefault="0027136E" w:rsidP="00DF144B">
      <w:pPr>
        <w:spacing w:before="0" w:after="0"/>
      </w:pPr>
      <w:r>
        <w:separator/>
      </w:r>
    </w:p>
  </w:footnote>
  <w:footnote w:type="continuationSeparator" w:id="0">
    <w:p w:rsidR="0027136E" w:rsidRDefault="0027136E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2EDF457" wp14:editId="7DC3716A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E3"/>
    <w:multiLevelType w:val="hybridMultilevel"/>
    <w:tmpl w:val="CF964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964"/>
    <w:multiLevelType w:val="hybridMultilevel"/>
    <w:tmpl w:val="77E4C4C6"/>
    <w:lvl w:ilvl="0" w:tplc="6A326D3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3C06"/>
    <w:rsid w:val="00005C35"/>
    <w:rsid w:val="00006B68"/>
    <w:rsid w:val="00020A1B"/>
    <w:rsid w:val="000216B4"/>
    <w:rsid w:val="00022503"/>
    <w:rsid w:val="000238BF"/>
    <w:rsid w:val="00023946"/>
    <w:rsid w:val="00024F4D"/>
    <w:rsid w:val="000309BB"/>
    <w:rsid w:val="00037BEF"/>
    <w:rsid w:val="000427D2"/>
    <w:rsid w:val="00051BDE"/>
    <w:rsid w:val="00055E5C"/>
    <w:rsid w:val="00060252"/>
    <w:rsid w:val="00061483"/>
    <w:rsid w:val="00064BFE"/>
    <w:rsid w:val="000733FA"/>
    <w:rsid w:val="00081EB3"/>
    <w:rsid w:val="00084082"/>
    <w:rsid w:val="00087244"/>
    <w:rsid w:val="00091922"/>
    <w:rsid w:val="000923B5"/>
    <w:rsid w:val="000A08BC"/>
    <w:rsid w:val="000A0B5D"/>
    <w:rsid w:val="000C2154"/>
    <w:rsid w:val="000C4D26"/>
    <w:rsid w:val="000C5EDA"/>
    <w:rsid w:val="000D064A"/>
    <w:rsid w:val="000E1B58"/>
    <w:rsid w:val="000F4BAE"/>
    <w:rsid w:val="0010185E"/>
    <w:rsid w:val="00101E6D"/>
    <w:rsid w:val="00111856"/>
    <w:rsid w:val="00112044"/>
    <w:rsid w:val="00115F82"/>
    <w:rsid w:val="00116CBC"/>
    <w:rsid w:val="00121FDE"/>
    <w:rsid w:val="00125AE2"/>
    <w:rsid w:val="0012663E"/>
    <w:rsid w:val="0013300C"/>
    <w:rsid w:val="0013405C"/>
    <w:rsid w:val="00134432"/>
    <w:rsid w:val="00134DFB"/>
    <w:rsid w:val="001439F5"/>
    <w:rsid w:val="00151D50"/>
    <w:rsid w:val="00152464"/>
    <w:rsid w:val="00157F31"/>
    <w:rsid w:val="00161A94"/>
    <w:rsid w:val="00163B82"/>
    <w:rsid w:val="001657C8"/>
    <w:rsid w:val="00171EA6"/>
    <w:rsid w:val="00173720"/>
    <w:rsid w:val="00193D1C"/>
    <w:rsid w:val="0019543A"/>
    <w:rsid w:val="001A35D9"/>
    <w:rsid w:val="001A506A"/>
    <w:rsid w:val="001A6048"/>
    <w:rsid w:val="001A7075"/>
    <w:rsid w:val="001B3343"/>
    <w:rsid w:val="001B6787"/>
    <w:rsid w:val="001B77C5"/>
    <w:rsid w:val="001B7EC2"/>
    <w:rsid w:val="001C0639"/>
    <w:rsid w:val="001C1DAC"/>
    <w:rsid w:val="001C28DE"/>
    <w:rsid w:val="001C3433"/>
    <w:rsid w:val="001C40A3"/>
    <w:rsid w:val="001D3299"/>
    <w:rsid w:val="001D432F"/>
    <w:rsid w:val="001D677B"/>
    <w:rsid w:val="001E3183"/>
    <w:rsid w:val="001E3B16"/>
    <w:rsid w:val="001E4A84"/>
    <w:rsid w:val="001E644C"/>
    <w:rsid w:val="001E720F"/>
    <w:rsid w:val="001F4CC1"/>
    <w:rsid w:val="001F621A"/>
    <w:rsid w:val="001F752C"/>
    <w:rsid w:val="002015DB"/>
    <w:rsid w:val="00207459"/>
    <w:rsid w:val="00213488"/>
    <w:rsid w:val="00220874"/>
    <w:rsid w:val="0023255E"/>
    <w:rsid w:val="00235018"/>
    <w:rsid w:val="00243E6A"/>
    <w:rsid w:val="002503DC"/>
    <w:rsid w:val="00252EF0"/>
    <w:rsid w:val="00255CFB"/>
    <w:rsid w:val="0025703E"/>
    <w:rsid w:val="0026041F"/>
    <w:rsid w:val="00260F5A"/>
    <w:rsid w:val="00261AB3"/>
    <w:rsid w:val="00262112"/>
    <w:rsid w:val="002627DE"/>
    <w:rsid w:val="002638FA"/>
    <w:rsid w:val="0026429C"/>
    <w:rsid w:val="00265CDD"/>
    <w:rsid w:val="002671D4"/>
    <w:rsid w:val="00267812"/>
    <w:rsid w:val="00271178"/>
    <w:rsid w:val="0027136E"/>
    <w:rsid w:val="002753F4"/>
    <w:rsid w:val="00292F6A"/>
    <w:rsid w:val="002A196B"/>
    <w:rsid w:val="002A1E57"/>
    <w:rsid w:val="002A2D6C"/>
    <w:rsid w:val="002A3555"/>
    <w:rsid w:val="002A3D65"/>
    <w:rsid w:val="002A4A38"/>
    <w:rsid w:val="002B7335"/>
    <w:rsid w:val="002C45BD"/>
    <w:rsid w:val="002C69DF"/>
    <w:rsid w:val="002D07E8"/>
    <w:rsid w:val="002D0CC1"/>
    <w:rsid w:val="002D2092"/>
    <w:rsid w:val="002D3D41"/>
    <w:rsid w:val="002E3E88"/>
    <w:rsid w:val="002E4FB8"/>
    <w:rsid w:val="002F2E5F"/>
    <w:rsid w:val="002F6C20"/>
    <w:rsid w:val="0030150F"/>
    <w:rsid w:val="00304886"/>
    <w:rsid w:val="00304BC6"/>
    <w:rsid w:val="00304E3D"/>
    <w:rsid w:val="00306687"/>
    <w:rsid w:val="0031070B"/>
    <w:rsid w:val="00313C59"/>
    <w:rsid w:val="003143FA"/>
    <w:rsid w:val="00314DB2"/>
    <w:rsid w:val="0031689F"/>
    <w:rsid w:val="003243AD"/>
    <w:rsid w:val="00331883"/>
    <w:rsid w:val="003318D8"/>
    <w:rsid w:val="00342853"/>
    <w:rsid w:val="00343845"/>
    <w:rsid w:val="00343C62"/>
    <w:rsid w:val="003445AF"/>
    <w:rsid w:val="00344E26"/>
    <w:rsid w:val="00361545"/>
    <w:rsid w:val="00361C54"/>
    <w:rsid w:val="003814E9"/>
    <w:rsid w:val="00391026"/>
    <w:rsid w:val="00393163"/>
    <w:rsid w:val="00393887"/>
    <w:rsid w:val="003A1733"/>
    <w:rsid w:val="003A4402"/>
    <w:rsid w:val="003A7CAE"/>
    <w:rsid w:val="003A7FCA"/>
    <w:rsid w:val="003B1B83"/>
    <w:rsid w:val="003B2882"/>
    <w:rsid w:val="003B6621"/>
    <w:rsid w:val="003C3C4B"/>
    <w:rsid w:val="003D4A71"/>
    <w:rsid w:val="003D7066"/>
    <w:rsid w:val="003F104D"/>
    <w:rsid w:val="004017CF"/>
    <w:rsid w:val="004039F9"/>
    <w:rsid w:val="004059C0"/>
    <w:rsid w:val="004065F2"/>
    <w:rsid w:val="00412355"/>
    <w:rsid w:val="00417774"/>
    <w:rsid w:val="00426D66"/>
    <w:rsid w:val="004272CB"/>
    <w:rsid w:val="00436BBD"/>
    <w:rsid w:val="00442818"/>
    <w:rsid w:val="00443433"/>
    <w:rsid w:val="00446DFF"/>
    <w:rsid w:val="00454596"/>
    <w:rsid w:val="0045522F"/>
    <w:rsid w:val="004616CC"/>
    <w:rsid w:val="0046191F"/>
    <w:rsid w:val="0046235D"/>
    <w:rsid w:val="00466010"/>
    <w:rsid w:val="00467ECA"/>
    <w:rsid w:val="0047063B"/>
    <w:rsid w:val="0048252A"/>
    <w:rsid w:val="00483843"/>
    <w:rsid w:val="004A3467"/>
    <w:rsid w:val="004A387A"/>
    <w:rsid w:val="004A6B3F"/>
    <w:rsid w:val="004A6E0E"/>
    <w:rsid w:val="004A7B26"/>
    <w:rsid w:val="004B576D"/>
    <w:rsid w:val="004B6A05"/>
    <w:rsid w:val="004C0739"/>
    <w:rsid w:val="004D48C2"/>
    <w:rsid w:val="004D680B"/>
    <w:rsid w:val="004F01C5"/>
    <w:rsid w:val="004F0286"/>
    <w:rsid w:val="004F2073"/>
    <w:rsid w:val="004F647D"/>
    <w:rsid w:val="004F74CC"/>
    <w:rsid w:val="00501DF2"/>
    <w:rsid w:val="005061E3"/>
    <w:rsid w:val="00510592"/>
    <w:rsid w:val="0051210D"/>
    <w:rsid w:val="00513D14"/>
    <w:rsid w:val="005163C5"/>
    <w:rsid w:val="005176A4"/>
    <w:rsid w:val="00517F59"/>
    <w:rsid w:val="0052481D"/>
    <w:rsid w:val="00524B79"/>
    <w:rsid w:val="00531521"/>
    <w:rsid w:val="00540681"/>
    <w:rsid w:val="005409F9"/>
    <w:rsid w:val="00550114"/>
    <w:rsid w:val="00553FC7"/>
    <w:rsid w:val="005556E9"/>
    <w:rsid w:val="00560AF5"/>
    <w:rsid w:val="00560FC6"/>
    <w:rsid w:val="00561B76"/>
    <w:rsid w:val="00564EE0"/>
    <w:rsid w:val="0057461F"/>
    <w:rsid w:val="0057477C"/>
    <w:rsid w:val="00590A03"/>
    <w:rsid w:val="00591EB5"/>
    <w:rsid w:val="00592DF2"/>
    <w:rsid w:val="00595CE7"/>
    <w:rsid w:val="005A015D"/>
    <w:rsid w:val="005A420E"/>
    <w:rsid w:val="005A5B45"/>
    <w:rsid w:val="005A6538"/>
    <w:rsid w:val="005B0078"/>
    <w:rsid w:val="005B0306"/>
    <w:rsid w:val="005B1668"/>
    <w:rsid w:val="005B26D2"/>
    <w:rsid w:val="005B43F3"/>
    <w:rsid w:val="005B4658"/>
    <w:rsid w:val="005B4AA8"/>
    <w:rsid w:val="005B6A71"/>
    <w:rsid w:val="005B7703"/>
    <w:rsid w:val="005C020A"/>
    <w:rsid w:val="005C050D"/>
    <w:rsid w:val="005C11E6"/>
    <w:rsid w:val="005C6A9A"/>
    <w:rsid w:val="005C7153"/>
    <w:rsid w:val="005D5D36"/>
    <w:rsid w:val="005E50EF"/>
    <w:rsid w:val="005E677A"/>
    <w:rsid w:val="005F26D1"/>
    <w:rsid w:val="005F5078"/>
    <w:rsid w:val="00603519"/>
    <w:rsid w:val="00603552"/>
    <w:rsid w:val="0060399E"/>
    <w:rsid w:val="00603B67"/>
    <w:rsid w:val="006045E5"/>
    <w:rsid w:val="006051B7"/>
    <w:rsid w:val="0060630A"/>
    <w:rsid w:val="00607038"/>
    <w:rsid w:val="006125EE"/>
    <w:rsid w:val="00614C6B"/>
    <w:rsid w:val="006157C3"/>
    <w:rsid w:val="0062637F"/>
    <w:rsid w:val="00626541"/>
    <w:rsid w:val="0062728E"/>
    <w:rsid w:val="00627CC8"/>
    <w:rsid w:val="00630607"/>
    <w:rsid w:val="00634BA0"/>
    <w:rsid w:val="006361F9"/>
    <w:rsid w:val="00637ED8"/>
    <w:rsid w:val="00647E13"/>
    <w:rsid w:val="00654813"/>
    <w:rsid w:val="006554D7"/>
    <w:rsid w:val="00656D17"/>
    <w:rsid w:val="00660370"/>
    <w:rsid w:val="00662CF0"/>
    <w:rsid w:val="00666FB9"/>
    <w:rsid w:val="006727BA"/>
    <w:rsid w:val="0067356F"/>
    <w:rsid w:val="006808F9"/>
    <w:rsid w:val="00680B1E"/>
    <w:rsid w:val="006841EC"/>
    <w:rsid w:val="00686073"/>
    <w:rsid w:val="00690AC7"/>
    <w:rsid w:val="00692BB5"/>
    <w:rsid w:val="00696BAB"/>
    <w:rsid w:val="006A0DA1"/>
    <w:rsid w:val="006A2179"/>
    <w:rsid w:val="006A2F50"/>
    <w:rsid w:val="006B009B"/>
    <w:rsid w:val="006B24A5"/>
    <w:rsid w:val="006B2EAA"/>
    <w:rsid w:val="006B667C"/>
    <w:rsid w:val="006C4277"/>
    <w:rsid w:val="006E0287"/>
    <w:rsid w:val="006E207E"/>
    <w:rsid w:val="006E3515"/>
    <w:rsid w:val="006E4003"/>
    <w:rsid w:val="006E4F3C"/>
    <w:rsid w:val="006E6DF1"/>
    <w:rsid w:val="006F368F"/>
    <w:rsid w:val="006F51BD"/>
    <w:rsid w:val="006F7D57"/>
    <w:rsid w:val="006F7EA2"/>
    <w:rsid w:val="007019E3"/>
    <w:rsid w:val="00701A66"/>
    <w:rsid w:val="007037C0"/>
    <w:rsid w:val="00703F8E"/>
    <w:rsid w:val="0070460D"/>
    <w:rsid w:val="0070528E"/>
    <w:rsid w:val="007058AC"/>
    <w:rsid w:val="00712FEE"/>
    <w:rsid w:val="00723B19"/>
    <w:rsid w:val="00731313"/>
    <w:rsid w:val="00732122"/>
    <w:rsid w:val="00734CF5"/>
    <w:rsid w:val="007379BD"/>
    <w:rsid w:val="00751EDA"/>
    <w:rsid w:val="00753795"/>
    <w:rsid w:val="0075393F"/>
    <w:rsid w:val="00755CBF"/>
    <w:rsid w:val="00757654"/>
    <w:rsid w:val="00757E9A"/>
    <w:rsid w:val="007620B3"/>
    <w:rsid w:val="00765534"/>
    <w:rsid w:val="00766EA8"/>
    <w:rsid w:val="00785AF9"/>
    <w:rsid w:val="007912B3"/>
    <w:rsid w:val="00797704"/>
    <w:rsid w:val="007A05B0"/>
    <w:rsid w:val="007A1EC6"/>
    <w:rsid w:val="007A6197"/>
    <w:rsid w:val="007B4DF2"/>
    <w:rsid w:val="007C07A4"/>
    <w:rsid w:val="007C5988"/>
    <w:rsid w:val="007C5FB6"/>
    <w:rsid w:val="007C61F4"/>
    <w:rsid w:val="007C6321"/>
    <w:rsid w:val="007D0CF9"/>
    <w:rsid w:val="007D1D75"/>
    <w:rsid w:val="007D1D93"/>
    <w:rsid w:val="007D78A8"/>
    <w:rsid w:val="007E201E"/>
    <w:rsid w:val="007E205E"/>
    <w:rsid w:val="007F0763"/>
    <w:rsid w:val="00800576"/>
    <w:rsid w:val="00803D94"/>
    <w:rsid w:val="008102D8"/>
    <w:rsid w:val="00812453"/>
    <w:rsid w:val="008153AD"/>
    <w:rsid w:val="00815ADF"/>
    <w:rsid w:val="00817089"/>
    <w:rsid w:val="00817673"/>
    <w:rsid w:val="00821F07"/>
    <w:rsid w:val="00822301"/>
    <w:rsid w:val="008236C2"/>
    <w:rsid w:val="00823721"/>
    <w:rsid w:val="00824D13"/>
    <w:rsid w:val="00827DA3"/>
    <w:rsid w:val="00851C8B"/>
    <w:rsid w:val="00860058"/>
    <w:rsid w:val="008639CE"/>
    <w:rsid w:val="00866905"/>
    <w:rsid w:val="0086728E"/>
    <w:rsid w:val="008706D6"/>
    <w:rsid w:val="00873D7A"/>
    <w:rsid w:val="008776B3"/>
    <w:rsid w:val="00881326"/>
    <w:rsid w:val="00891EF1"/>
    <w:rsid w:val="00894DCD"/>
    <w:rsid w:val="008A1545"/>
    <w:rsid w:val="008B0DCE"/>
    <w:rsid w:val="008B3373"/>
    <w:rsid w:val="008B484E"/>
    <w:rsid w:val="008B54C1"/>
    <w:rsid w:val="008D7E64"/>
    <w:rsid w:val="008D7F7D"/>
    <w:rsid w:val="008E2EBB"/>
    <w:rsid w:val="008E4995"/>
    <w:rsid w:val="008F6865"/>
    <w:rsid w:val="00901E24"/>
    <w:rsid w:val="0090622B"/>
    <w:rsid w:val="00916A65"/>
    <w:rsid w:val="00920C41"/>
    <w:rsid w:val="0092249D"/>
    <w:rsid w:val="009312C8"/>
    <w:rsid w:val="00932FF0"/>
    <w:rsid w:val="00935FFF"/>
    <w:rsid w:val="00945D94"/>
    <w:rsid w:val="0094721D"/>
    <w:rsid w:val="00954DD9"/>
    <w:rsid w:val="00955C75"/>
    <w:rsid w:val="00965048"/>
    <w:rsid w:val="0096666B"/>
    <w:rsid w:val="009678B0"/>
    <w:rsid w:val="009718C2"/>
    <w:rsid w:val="0097211E"/>
    <w:rsid w:val="00983C7A"/>
    <w:rsid w:val="00992340"/>
    <w:rsid w:val="009929E1"/>
    <w:rsid w:val="009949F8"/>
    <w:rsid w:val="00996132"/>
    <w:rsid w:val="009B2171"/>
    <w:rsid w:val="009C140F"/>
    <w:rsid w:val="009C4878"/>
    <w:rsid w:val="009D0646"/>
    <w:rsid w:val="009D31DE"/>
    <w:rsid w:val="009D40C6"/>
    <w:rsid w:val="009D4A24"/>
    <w:rsid w:val="009D6EF5"/>
    <w:rsid w:val="009E017F"/>
    <w:rsid w:val="009E1C65"/>
    <w:rsid w:val="009E2C4D"/>
    <w:rsid w:val="009F40DE"/>
    <w:rsid w:val="009F4418"/>
    <w:rsid w:val="009F4BDC"/>
    <w:rsid w:val="009F7423"/>
    <w:rsid w:val="00A01EE3"/>
    <w:rsid w:val="00A0556C"/>
    <w:rsid w:val="00A06937"/>
    <w:rsid w:val="00A10E3E"/>
    <w:rsid w:val="00A12C88"/>
    <w:rsid w:val="00A13836"/>
    <w:rsid w:val="00A162BA"/>
    <w:rsid w:val="00A177F3"/>
    <w:rsid w:val="00A2168D"/>
    <w:rsid w:val="00A21DF9"/>
    <w:rsid w:val="00A22011"/>
    <w:rsid w:val="00A226F2"/>
    <w:rsid w:val="00A268EF"/>
    <w:rsid w:val="00A272A8"/>
    <w:rsid w:val="00A32CDC"/>
    <w:rsid w:val="00A35BCA"/>
    <w:rsid w:val="00A36813"/>
    <w:rsid w:val="00A4183F"/>
    <w:rsid w:val="00A4267E"/>
    <w:rsid w:val="00A42E60"/>
    <w:rsid w:val="00A430BA"/>
    <w:rsid w:val="00A440E7"/>
    <w:rsid w:val="00A47A92"/>
    <w:rsid w:val="00A47C01"/>
    <w:rsid w:val="00A505FB"/>
    <w:rsid w:val="00A535D1"/>
    <w:rsid w:val="00A53BE8"/>
    <w:rsid w:val="00A550B7"/>
    <w:rsid w:val="00A57C53"/>
    <w:rsid w:val="00A66F31"/>
    <w:rsid w:val="00A700A6"/>
    <w:rsid w:val="00A702D8"/>
    <w:rsid w:val="00A731BE"/>
    <w:rsid w:val="00A9319E"/>
    <w:rsid w:val="00A9457F"/>
    <w:rsid w:val="00AA260F"/>
    <w:rsid w:val="00AA27E5"/>
    <w:rsid w:val="00AB5CA9"/>
    <w:rsid w:val="00AC1C2F"/>
    <w:rsid w:val="00AC1C9D"/>
    <w:rsid w:val="00AC52AF"/>
    <w:rsid w:val="00AD0E4E"/>
    <w:rsid w:val="00AD4EC4"/>
    <w:rsid w:val="00AD741F"/>
    <w:rsid w:val="00AE6373"/>
    <w:rsid w:val="00AF019A"/>
    <w:rsid w:val="00AF0856"/>
    <w:rsid w:val="00B00975"/>
    <w:rsid w:val="00B11160"/>
    <w:rsid w:val="00B11FC7"/>
    <w:rsid w:val="00B124E6"/>
    <w:rsid w:val="00B139B3"/>
    <w:rsid w:val="00B14E39"/>
    <w:rsid w:val="00B1742A"/>
    <w:rsid w:val="00B17D4F"/>
    <w:rsid w:val="00B205B1"/>
    <w:rsid w:val="00B20E9F"/>
    <w:rsid w:val="00B3449A"/>
    <w:rsid w:val="00B4091D"/>
    <w:rsid w:val="00B4323B"/>
    <w:rsid w:val="00B44B99"/>
    <w:rsid w:val="00B560E4"/>
    <w:rsid w:val="00B57A7C"/>
    <w:rsid w:val="00B6610C"/>
    <w:rsid w:val="00B70E1E"/>
    <w:rsid w:val="00B750C0"/>
    <w:rsid w:val="00B761F6"/>
    <w:rsid w:val="00B85490"/>
    <w:rsid w:val="00B855B6"/>
    <w:rsid w:val="00B868C9"/>
    <w:rsid w:val="00B90154"/>
    <w:rsid w:val="00B909A8"/>
    <w:rsid w:val="00B91C1D"/>
    <w:rsid w:val="00BA4C96"/>
    <w:rsid w:val="00BB1663"/>
    <w:rsid w:val="00BB3F46"/>
    <w:rsid w:val="00BB417A"/>
    <w:rsid w:val="00BB77DA"/>
    <w:rsid w:val="00BC78EE"/>
    <w:rsid w:val="00BD1D04"/>
    <w:rsid w:val="00BD2FD8"/>
    <w:rsid w:val="00BD5005"/>
    <w:rsid w:val="00BF058A"/>
    <w:rsid w:val="00BF0973"/>
    <w:rsid w:val="00BF2A21"/>
    <w:rsid w:val="00C00A3F"/>
    <w:rsid w:val="00C01DEB"/>
    <w:rsid w:val="00C14D4A"/>
    <w:rsid w:val="00C207ED"/>
    <w:rsid w:val="00C209AC"/>
    <w:rsid w:val="00C20A6E"/>
    <w:rsid w:val="00C35173"/>
    <w:rsid w:val="00C67221"/>
    <w:rsid w:val="00C71FCC"/>
    <w:rsid w:val="00C739D3"/>
    <w:rsid w:val="00C73BB6"/>
    <w:rsid w:val="00C743C6"/>
    <w:rsid w:val="00C7526F"/>
    <w:rsid w:val="00C75DAB"/>
    <w:rsid w:val="00C84A86"/>
    <w:rsid w:val="00C87207"/>
    <w:rsid w:val="00C87848"/>
    <w:rsid w:val="00C916A2"/>
    <w:rsid w:val="00C927C6"/>
    <w:rsid w:val="00C969B1"/>
    <w:rsid w:val="00CA4BCA"/>
    <w:rsid w:val="00CA70A1"/>
    <w:rsid w:val="00CA7C4E"/>
    <w:rsid w:val="00CB4316"/>
    <w:rsid w:val="00CC554B"/>
    <w:rsid w:val="00CC7193"/>
    <w:rsid w:val="00CD2998"/>
    <w:rsid w:val="00CD6D4F"/>
    <w:rsid w:val="00CE10D4"/>
    <w:rsid w:val="00CE37F5"/>
    <w:rsid w:val="00CF0B32"/>
    <w:rsid w:val="00CF410C"/>
    <w:rsid w:val="00CF763A"/>
    <w:rsid w:val="00D0069C"/>
    <w:rsid w:val="00D025FB"/>
    <w:rsid w:val="00D03225"/>
    <w:rsid w:val="00D10360"/>
    <w:rsid w:val="00D110AA"/>
    <w:rsid w:val="00D14812"/>
    <w:rsid w:val="00D15918"/>
    <w:rsid w:val="00D168FB"/>
    <w:rsid w:val="00D21920"/>
    <w:rsid w:val="00D36E46"/>
    <w:rsid w:val="00D372EE"/>
    <w:rsid w:val="00D40809"/>
    <w:rsid w:val="00D44661"/>
    <w:rsid w:val="00D50F7D"/>
    <w:rsid w:val="00D51A11"/>
    <w:rsid w:val="00D55D5C"/>
    <w:rsid w:val="00D56657"/>
    <w:rsid w:val="00D72526"/>
    <w:rsid w:val="00D91375"/>
    <w:rsid w:val="00D94D50"/>
    <w:rsid w:val="00DA18B9"/>
    <w:rsid w:val="00DA5375"/>
    <w:rsid w:val="00DB4E6C"/>
    <w:rsid w:val="00DB59E4"/>
    <w:rsid w:val="00DC0D0F"/>
    <w:rsid w:val="00DC297A"/>
    <w:rsid w:val="00DC44DF"/>
    <w:rsid w:val="00DC5279"/>
    <w:rsid w:val="00DC7609"/>
    <w:rsid w:val="00DC7A89"/>
    <w:rsid w:val="00DD0F4E"/>
    <w:rsid w:val="00DD1193"/>
    <w:rsid w:val="00DD22E9"/>
    <w:rsid w:val="00DD3942"/>
    <w:rsid w:val="00DD40AD"/>
    <w:rsid w:val="00DD4CEB"/>
    <w:rsid w:val="00DE1C5A"/>
    <w:rsid w:val="00DE4BD9"/>
    <w:rsid w:val="00DE7491"/>
    <w:rsid w:val="00DF0A55"/>
    <w:rsid w:val="00DF144B"/>
    <w:rsid w:val="00DF48D9"/>
    <w:rsid w:val="00DF5C40"/>
    <w:rsid w:val="00E141A0"/>
    <w:rsid w:val="00E14BD5"/>
    <w:rsid w:val="00E30339"/>
    <w:rsid w:val="00E33ADB"/>
    <w:rsid w:val="00E36743"/>
    <w:rsid w:val="00E41297"/>
    <w:rsid w:val="00E43606"/>
    <w:rsid w:val="00E4641E"/>
    <w:rsid w:val="00E51D24"/>
    <w:rsid w:val="00E5385D"/>
    <w:rsid w:val="00E5496C"/>
    <w:rsid w:val="00E61AF8"/>
    <w:rsid w:val="00E61FB3"/>
    <w:rsid w:val="00E62C45"/>
    <w:rsid w:val="00E71D00"/>
    <w:rsid w:val="00E749BD"/>
    <w:rsid w:val="00E77AA1"/>
    <w:rsid w:val="00E924BF"/>
    <w:rsid w:val="00E92D8C"/>
    <w:rsid w:val="00E93C4B"/>
    <w:rsid w:val="00E97437"/>
    <w:rsid w:val="00EA2860"/>
    <w:rsid w:val="00EA7860"/>
    <w:rsid w:val="00EB290F"/>
    <w:rsid w:val="00EB314E"/>
    <w:rsid w:val="00EB449E"/>
    <w:rsid w:val="00EB5598"/>
    <w:rsid w:val="00EC089B"/>
    <w:rsid w:val="00EC5AD8"/>
    <w:rsid w:val="00ED08C7"/>
    <w:rsid w:val="00EE5CA7"/>
    <w:rsid w:val="00EF1D9F"/>
    <w:rsid w:val="00EF22FD"/>
    <w:rsid w:val="00EF6F9F"/>
    <w:rsid w:val="00F05A4D"/>
    <w:rsid w:val="00F14165"/>
    <w:rsid w:val="00F15742"/>
    <w:rsid w:val="00F252CB"/>
    <w:rsid w:val="00F32CE3"/>
    <w:rsid w:val="00F34C02"/>
    <w:rsid w:val="00F43431"/>
    <w:rsid w:val="00F47AC9"/>
    <w:rsid w:val="00F534D3"/>
    <w:rsid w:val="00F53FDC"/>
    <w:rsid w:val="00F619ED"/>
    <w:rsid w:val="00F61BEA"/>
    <w:rsid w:val="00F6255C"/>
    <w:rsid w:val="00F638B9"/>
    <w:rsid w:val="00F646EA"/>
    <w:rsid w:val="00F64EE7"/>
    <w:rsid w:val="00F659A4"/>
    <w:rsid w:val="00F70476"/>
    <w:rsid w:val="00F735BB"/>
    <w:rsid w:val="00F73DC6"/>
    <w:rsid w:val="00F77CF7"/>
    <w:rsid w:val="00F809AC"/>
    <w:rsid w:val="00F81380"/>
    <w:rsid w:val="00F90227"/>
    <w:rsid w:val="00F964D9"/>
    <w:rsid w:val="00FB0D6D"/>
    <w:rsid w:val="00FB0F6F"/>
    <w:rsid w:val="00FB114D"/>
    <w:rsid w:val="00FB23FE"/>
    <w:rsid w:val="00FB5ACE"/>
    <w:rsid w:val="00FB6F29"/>
    <w:rsid w:val="00FC24CB"/>
    <w:rsid w:val="00FC6472"/>
    <w:rsid w:val="00FC7C89"/>
    <w:rsid w:val="00FE0835"/>
    <w:rsid w:val="00FE2964"/>
    <w:rsid w:val="00FE4440"/>
    <w:rsid w:val="00FE5898"/>
    <w:rsid w:val="00FE7CBD"/>
    <w:rsid w:val="00FF0D6C"/>
    <w:rsid w:val="00FF510D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E5BCF9B-0C71-44F8-A052-A4BADC7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A6A4-647B-4905-AFC9-45F70EB2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167</TotalTime>
  <Pages>10</Pages>
  <Words>2447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21</cp:revision>
  <cp:lastPrinted>2018-07-16T20:54:00Z</cp:lastPrinted>
  <dcterms:created xsi:type="dcterms:W3CDTF">2019-12-10T16:30:00Z</dcterms:created>
  <dcterms:modified xsi:type="dcterms:W3CDTF">2019-12-20T12:41:00Z</dcterms:modified>
</cp:coreProperties>
</file>