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D6F71" w:rsidRPr="00EE60A7" w14:paraId="71DA7165" w14:textId="77777777" w:rsidTr="00D626E0">
        <w:tc>
          <w:tcPr>
            <w:tcW w:w="9067" w:type="dxa"/>
            <w:shd w:val="clear" w:color="auto" w:fill="auto"/>
          </w:tcPr>
          <w:p w14:paraId="16847072" w14:textId="2D3D8B9E" w:rsidR="00AD6F71" w:rsidRPr="00EE60A7" w:rsidRDefault="00AD6F71" w:rsidP="00DF2A0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NORMA DE PROCEDIMENTO – SCV Nº</w:t>
            </w:r>
            <w:r w:rsidR="007749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4935">
              <w:rPr>
                <w:rFonts w:ascii="Arial" w:hAnsi="Arial" w:cs="Arial"/>
                <w:b/>
                <w:bCs/>
                <w:sz w:val="24"/>
                <w:szCs w:val="24"/>
              </w:rPr>
              <w:t>005</w:t>
            </w:r>
          </w:p>
        </w:tc>
      </w:tr>
    </w:tbl>
    <w:p w14:paraId="643D216E" w14:textId="77777777" w:rsidR="00AD6F71" w:rsidRPr="00EE60A7" w:rsidRDefault="00AD6F71" w:rsidP="00EE60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4110"/>
        <w:gridCol w:w="2835"/>
      </w:tblGrid>
      <w:tr w:rsidR="00AD6F71" w:rsidRPr="00EE60A7" w14:paraId="2E8D6FB9" w14:textId="77777777" w:rsidTr="00D626E0">
        <w:tc>
          <w:tcPr>
            <w:tcW w:w="1413" w:type="dxa"/>
            <w:vAlign w:val="center"/>
          </w:tcPr>
          <w:p w14:paraId="18386EFA" w14:textId="77777777" w:rsidR="00AD6F71" w:rsidRPr="00EE60A7" w:rsidRDefault="00AD6F71" w:rsidP="00EE60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48062385" w14:textId="7707ACEC" w:rsidR="00AD6F71" w:rsidRPr="00EE60A7" w:rsidRDefault="00AD6F71" w:rsidP="00F214C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</w:t>
            </w:r>
            <w:r w:rsidR="00F214C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tinção, Denúncia ou Rescisão</w:t>
            </w:r>
            <w:r w:rsidRPr="00EE60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 Convênios</w:t>
            </w:r>
          </w:p>
        </w:tc>
      </w:tr>
      <w:tr w:rsidR="00AD6F71" w:rsidRPr="00EE60A7" w14:paraId="50D76D9D" w14:textId="77777777" w:rsidTr="00D626E0">
        <w:tc>
          <w:tcPr>
            <w:tcW w:w="1413" w:type="dxa"/>
            <w:vAlign w:val="center"/>
          </w:tcPr>
          <w:p w14:paraId="0303CDD9" w14:textId="77777777" w:rsidR="00AD6F71" w:rsidRPr="00EE60A7" w:rsidRDefault="00AD6F71" w:rsidP="00EE60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43FCB5CE" w14:textId="6F98E2D1" w:rsidR="00AD6F71" w:rsidRPr="00EE60A7" w:rsidRDefault="00AD6F71" w:rsidP="00F214C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EE60A7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F214C4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AD6F71" w:rsidRPr="00EE60A7" w14:paraId="5FB2DBA5" w14:textId="77777777" w:rsidTr="00D626E0">
        <w:tc>
          <w:tcPr>
            <w:tcW w:w="1413" w:type="dxa"/>
            <w:vAlign w:val="center"/>
          </w:tcPr>
          <w:p w14:paraId="7394FF57" w14:textId="77777777" w:rsidR="00AD6F71" w:rsidRPr="00EE60A7" w:rsidRDefault="00AD6F71" w:rsidP="00EE60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3614AE9B" w14:textId="77777777" w:rsidR="00AD6F71" w:rsidRPr="00EE60A7" w:rsidRDefault="00AD6F71" w:rsidP="00EE60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Sistema de Convênios</w:t>
            </w:r>
          </w:p>
        </w:tc>
        <w:tc>
          <w:tcPr>
            <w:tcW w:w="2835" w:type="dxa"/>
            <w:vAlign w:val="center"/>
          </w:tcPr>
          <w:p w14:paraId="527B4FD7" w14:textId="77777777" w:rsidR="00AD6F71" w:rsidRPr="00EE60A7" w:rsidRDefault="00AD6F71" w:rsidP="00EE60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EE60A7">
              <w:rPr>
                <w:rFonts w:ascii="Arial" w:hAnsi="Arial" w:cs="Arial"/>
                <w:bCs/>
                <w:sz w:val="24"/>
                <w:szCs w:val="24"/>
              </w:rPr>
              <w:t>SCV</w:t>
            </w:r>
          </w:p>
        </w:tc>
      </w:tr>
      <w:tr w:rsidR="00AD6F71" w:rsidRPr="00EE60A7" w14:paraId="3E0331D8" w14:textId="77777777" w:rsidTr="00D626E0">
        <w:tc>
          <w:tcPr>
            <w:tcW w:w="1413" w:type="dxa"/>
            <w:vAlign w:val="center"/>
          </w:tcPr>
          <w:p w14:paraId="6BA14266" w14:textId="77777777" w:rsidR="00AD6F71" w:rsidRPr="00EE60A7" w:rsidRDefault="00AD6F71" w:rsidP="00EE60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E60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709" w:type="dxa"/>
            <w:vAlign w:val="center"/>
          </w:tcPr>
          <w:p w14:paraId="247D2DC1" w14:textId="1C000475" w:rsidR="00AD6F71" w:rsidRPr="000451EC" w:rsidRDefault="00F214C4" w:rsidP="00EE60A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4110" w:type="dxa"/>
            <w:vAlign w:val="center"/>
          </w:tcPr>
          <w:p w14:paraId="715111C3" w14:textId="370A6FD1" w:rsidR="00AD6F71" w:rsidRPr="00EE60A7" w:rsidRDefault="00AD6F71" w:rsidP="00800B76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E60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F12917" w:rsidRPr="00DF2A09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01483F">
              <w:rPr>
                <w:rFonts w:ascii="Arial" w:hAnsi="Arial" w:cs="Arial"/>
                <w:bCs/>
                <w:sz w:val="24"/>
                <w:szCs w:val="24"/>
              </w:rPr>
              <w:t xml:space="preserve"> 6</w:t>
            </w:r>
            <w:r w:rsidR="00800B76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F214C4">
              <w:rPr>
                <w:rFonts w:ascii="Arial" w:hAnsi="Arial" w:cs="Arial"/>
                <w:bCs/>
                <w:sz w:val="24"/>
                <w:szCs w:val="24"/>
              </w:rPr>
              <w:t>-R</w:t>
            </w:r>
            <w:r w:rsidR="008F0418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  <w:tc>
          <w:tcPr>
            <w:tcW w:w="2835" w:type="dxa"/>
            <w:vAlign w:val="center"/>
          </w:tcPr>
          <w:p w14:paraId="4E235F13" w14:textId="130A0AD8" w:rsidR="00AD6F71" w:rsidRPr="00EE60A7" w:rsidRDefault="00321775" w:rsidP="00A5452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Vigência: </w:t>
            </w:r>
            <w:r w:rsidR="00A5452E" w:rsidRPr="00A5452E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="00F12917" w:rsidRPr="000451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/</w:t>
            </w:r>
            <w:r w:rsidR="00A5452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</w:t>
            </w:r>
            <w:r w:rsidR="008F0418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</w:tr>
    </w:tbl>
    <w:p w14:paraId="1B9C126C" w14:textId="77777777" w:rsidR="003D76BC" w:rsidRPr="00EE60A7" w:rsidRDefault="003D76BC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7B82BD" w14:textId="77777777" w:rsidR="00F110A9" w:rsidRPr="00925CE7" w:rsidRDefault="00F110A9" w:rsidP="008B04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25CE7">
        <w:rPr>
          <w:rFonts w:ascii="Arial" w:hAnsi="Arial" w:cs="Arial"/>
          <w:b/>
          <w:bCs/>
          <w:sz w:val="24"/>
          <w:szCs w:val="24"/>
        </w:rPr>
        <w:t>OBJETIVOS</w:t>
      </w:r>
    </w:p>
    <w:p w14:paraId="16536DC5" w14:textId="77777777" w:rsidR="003D76BC" w:rsidRPr="00EE60A7" w:rsidRDefault="003D76BC" w:rsidP="008B0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9A6E1A1" w14:textId="3655F0C4" w:rsidR="00A67789" w:rsidRPr="00EE60A7" w:rsidRDefault="00F23774" w:rsidP="0010141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Estabelecer procedimentos para </w:t>
      </w:r>
      <w:r w:rsidR="00C32413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F214C4">
        <w:rPr>
          <w:rFonts w:ascii="Arial" w:hAnsi="Arial" w:cs="Arial"/>
          <w:bCs/>
          <w:sz w:val="24"/>
          <w:szCs w:val="24"/>
        </w:rPr>
        <w:t>extinção, denúncia ou rescisão de convênios celebrados entre</w:t>
      </w:r>
      <w:r w:rsidR="00E56FD1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E2613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="00E56FD1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rgãos </w:t>
      </w:r>
      <w:r w:rsidR="00D31A47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e entidades da Administração Pública Estadual, </w:t>
      </w:r>
      <w:r w:rsidR="00CE2613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D31A47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ireta e </w:t>
      </w:r>
      <w:r w:rsidR="00CE2613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D31A47" w:rsidRPr="00EE60A7">
        <w:rPr>
          <w:rFonts w:ascii="Arial" w:hAnsi="Arial" w:cs="Arial"/>
          <w:bCs/>
          <w:color w:val="000000" w:themeColor="text1"/>
          <w:sz w:val="24"/>
          <w:szCs w:val="24"/>
        </w:rPr>
        <w:t>ndireta,</w:t>
      </w:r>
      <w:r w:rsidR="00FC35D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214C4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0B4602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 entes públicos de qualquer</w:t>
      </w:r>
      <w:r w:rsidR="00C32413" w:rsidRPr="00EE60A7">
        <w:rPr>
          <w:rFonts w:ascii="Arial" w:hAnsi="Arial" w:cs="Arial"/>
          <w:sz w:val="24"/>
          <w:szCs w:val="24"/>
        </w:rPr>
        <w:t xml:space="preserve"> esfera de governo.</w:t>
      </w:r>
    </w:p>
    <w:p w14:paraId="322AA6C5" w14:textId="77777777" w:rsidR="00BA1F7E" w:rsidRPr="00EE60A7" w:rsidRDefault="00BA1F7E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4C9FC5" w14:textId="77777777" w:rsidR="00F110A9" w:rsidRPr="00EE60A7" w:rsidRDefault="00F110A9" w:rsidP="00925CE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60A7">
        <w:rPr>
          <w:rFonts w:ascii="Arial" w:hAnsi="Arial" w:cs="Arial"/>
          <w:b/>
          <w:bCs/>
          <w:sz w:val="24"/>
          <w:szCs w:val="24"/>
        </w:rPr>
        <w:t>ABRANGÊNCIA</w:t>
      </w:r>
    </w:p>
    <w:p w14:paraId="7B9A17FD" w14:textId="77777777" w:rsidR="00994184" w:rsidRPr="00EE60A7" w:rsidRDefault="00994184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97336D" w14:textId="77777777" w:rsidR="00E56FD1" w:rsidRPr="008B0487" w:rsidRDefault="00D31A47" w:rsidP="008B0487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B0487">
        <w:rPr>
          <w:rFonts w:ascii="Arial" w:hAnsi="Arial" w:cs="Arial"/>
          <w:bCs/>
          <w:color w:val="000000" w:themeColor="text1"/>
          <w:sz w:val="24"/>
          <w:szCs w:val="24"/>
        </w:rPr>
        <w:t xml:space="preserve">Órgãos e entidades da Administração Pública Estadual, </w:t>
      </w:r>
      <w:r w:rsidR="00CE2613">
        <w:rPr>
          <w:rFonts w:ascii="Arial" w:hAnsi="Arial" w:cs="Arial"/>
          <w:bCs/>
          <w:color w:val="000000" w:themeColor="text1"/>
          <w:sz w:val="24"/>
          <w:szCs w:val="24"/>
        </w:rPr>
        <w:t>direta e i</w:t>
      </w:r>
      <w:r w:rsidRPr="008B0487">
        <w:rPr>
          <w:rFonts w:ascii="Arial" w:hAnsi="Arial" w:cs="Arial"/>
          <w:bCs/>
          <w:color w:val="000000" w:themeColor="text1"/>
          <w:sz w:val="24"/>
          <w:szCs w:val="24"/>
        </w:rPr>
        <w:t xml:space="preserve">ndireta </w:t>
      </w:r>
      <w:r w:rsidR="00E56FD1" w:rsidRPr="008B0487">
        <w:rPr>
          <w:rFonts w:ascii="Arial" w:hAnsi="Arial" w:cs="Arial"/>
          <w:bCs/>
          <w:color w:val="000000" w:themeColor="text1"/>
          <w:sz w:val="24"/>
          <w:szCs w:val="24"/>
        </w:rPr>
        <w:t>e entes públicos de qualquer</w:t>
      </w:r>
      <w:r w:rsidR="00E56FD1" w:rsidRPr="008B0487">
        <w:rPr>
          <w:rFonts w:ascii="Arial" w:hAnsi="Arial" w:cs="Arial"/>
          <w:sz w:val="24"/>
          <w:szCs w:val="24"/>
        </w:rPr>
        <w:t xml:space="preserve"> esfera de governo.</w:t>
      </w:r>
    </w:p>
    <w:p w14:paraId="009CD9CF" w14:textId="77777777" w:rsidR="00994316" w:rsidRPr="00EE60A7" w:rsidRDefault="00994316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5C7B52" w14:textId="77777777" w:rsidR="00F110A9" w:rsidRPr="00EE60A7" w:rsidRDefault="00F110A9" w:rsidP="00925CE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60A7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22F3B735" w14:textId="77777777" w:rsidR="00CD7D54" w:rsidRPr="00EE60A7" w:rsidRDefault="00CD7D54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836FE" w14:textId="77777777" w:rsidR="00695952" w:rsidRPr="00EE60A7" w:rsidRDefault="00695952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60A7">
        <w:rPr>
          <w:rFonts w:ascii="Arial" w:hAnsi="Arial" w:cs="Arial"/>
          <w:b/>
          <w:sz w:val="24"/>
          <w:szCs w:val="24"/>
        </w:rPr>
        <w:t>Lei Federal n.º 8.666</w:t>
      </w:r>
      <w:r w:rsidRPr="00EE60A7">
        <w:rPr>
          <w:rFonts w:ascii="Arial" w:hAnsi="Arial" w:cs="Arial"/>
          <w:sz w:val="24"/>
          <w:szCs w:val="24"/>
        </w:rPr>
        <w:t>, de 21/06/1993 – Regulamenta o art. 37, inciso XXI, da Constituição Federal, institui normas para licitações e contratos da Administração P</w:t>
      </w:r>
      <w:r w:rsidR="00002BF0">
        <w:rPr>
          <w:rFonts w:ascii="Arial" w:hAnsi="Arial" w:cs="Arial"/>
          <w:sz w:val="24"/>
          <w:szCs w:val="24"/>
        </w:rPr>
        <w:t>ública e dá outras providências;</w:t>
      </w:r>
    </w:p>
    <w:p w14:paraId="6DF2A273" w14:textId="77777777" w:rsidR="00172C79" w:rsidRPr="00EE60A7" w:rsidRDefault="00172C79" w:rsidP="00EE60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04EF4DD" w14:textId="77777777" w:rsidR="00695952" w:rsidRPr="00EE60A7" w:rsidRDefault="00695952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Lei Complementar Federal n.º 101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, de 04/05/2000 – Estabelece normas de finanças públicas voltadas para a responsabilidade na gestão 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>fiscal e dá outras providências;</w:t>
      </w:r>
    </w:p>
    <w:p w14:paraId="40148918" w14:textId="77777777" w:rsidR="00292AAE" w:rsidRPr="00EE60A7" w:rsidRDefault="00292AAE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EDC2A25" w14:textId="77777777" w:rsidR="00695952" w:rsidRPr="00EE60A7" w:rsidRDefault="00695952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Decreto Estadual n.º 2.737-R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>, de 19/04/2011 – Dispõe sobre as normas relativas às transferências voluntárias de recursos financeir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>os do Estado mediante convênios;</w:t>
      </w:r>
    </w:p>
    <w:p w14:paraId="0F49B1C6" w14:textId="77777777" w:rsidR="00EF35DF" w:rsidRPr="00EE60A7" w:rsidRDefault="00EF35DF" w:rsidP="00EE60A7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935B4CD" w14:textId="77777777" w:rsidR="00EF35DF" w:rsidRPr="00EE60A7" w:rsidRDefault="00EF35DF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EE60A7">
        <w:rPr>
          <w:rFonts w:ascii="Arial" w:hAnsi="Arial" w:cs="Arial"/>
          <w:b/>
          <w:bCs/>
          <w:sz w:val="24"/>
          <w:szCs w:val="24"/>
        </w:rPr>
        <w:t>Decreto Estadual n.º 2.340,</w:t>
      </w:r>
      <w:r w:rsidRPr="00EE60A7">
        <w:rPr>
          <w:rFonts w:ascii="Arial" w:hAnsi="Arial" w:cs="Arial"/>
          <w:bCs/>
          <w:sz w:val="24"/>
          <w:szCs w:val="24"/>
        </w:rPr>
        <w:t xml:space="preserve"> de 26/08/2009 – Institui o Sistema Integrado de gestão administrativa </w:t>
      </w:r>
      <w:r w:rsidR="00AF63DF">
        <w:rPr>
          <w:rFonts w:ascii="Arial" w:hAnsi="Arial" w:cs="Arial"/>
          <w:bCs/>
          <w:sz w:val="24"/>
          <w:szCs w:val="24"/>
        </w:rPr>
        <w:t>–</w:t>
      </w:r>
      <w:r w:rsidRPr="00EE60A7">
        <w:rPr>
          <w:rFonts w:ascii="Arial" w:hAnsi="Arial" w:cs="Arial"/>
          <w:bCs/>
          <w:sz w:val="24"/>
          <w:szCs w:val="24"/>
        </w:rPr>
        <w:t xml:space="preserve"> SIGA</w:t>
      </w:r>
      <w:r w:rsidR="00002BF0">
        <w:rPr>
          <w:rFonts w:ascii="Arial" w:hAnsi="Arial" w:cs="Arial"/>
          <w:bCs/>
          <w:sz w:val="24"/>
          <w:szCs w:val="24"/>
        </w:rPr>
        <w:t>;</w:t>
      </w:r>
    </w:p>
    <w:p w14:paraId="3C65D4F8" w14:textId="77777777" w:rsidR="00685D67" w:rsidRPr="00EE60A7" w:rsidRDefault="00685D67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A80649" w14:textId="77777777" w:rsidR="00685D67" w:rsidRPr="001A1049" w:rsidRDefault="002836D0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Decreto Estadual n</w:t>
      </w:r>
      <w:r w:rsidR="00945BFD"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.º </w:t>
      </w: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1.955-R</w:t>
      </w:r>
      <w:r w:rsidR="00945BFD"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945BFD" w:rsidRPr="00EE60A7">
        <w:rPr>
          <w:rFonts w:ascii="Arial" w:hAnsi="Arial" w:cs="Arial"/>
          <w:bCs/>
          <w:color w:val="000000" w:themeColor="text1"/>
          <w:sz w:val="24"/>
          <w:szCs w:val="24"/>
        </w:rPr>
        <w:t>de 29/10/</w:t>
      </w:r>
      <w:r w:rsidR="00F62730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2007 </w:t>
      </w:r>
      <w:r w:rsidR="0010141F"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– 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Regulamenta o Artigo 3º, Parágrafo 2º, da Lei Complementar nº 88, de 26 de dezembro de 1996, que estabelece a padronização de minutas de Convênios, cuja observância é obrigatória para a 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>Administração Direta e Indireta;</w:t>
      </w:r>
    </w:p>
    <w:p w14:paraId="2E05F058" w14:textId="77777777" w:rsidR="001A1049" w:rsidRPr="001A1049" w:rsidRDefault="001A1049" w:rsidP="001A1049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E220EF" w14:textId="77777777" w:rsidR="001A1049" w:rsidRPr="00EE60A7" w:rsidRDefault="001A1049" w:rsidP="001A104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Decreto Estadual n.º 4.164-R, 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>de 01/11/2017 –Dispõe sobre a avaliação prévia de processos licitatórios, convênios, concessões e Parcerias Púb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>lico Privadas – PPP pela Secont;</w:t>
      </w:r>
    </w:p>
    <w:p w14:paraId="621636CE" w14:textId="77777777" w:rsidR="001A1049" w:rsidRPr="00EE60A7" w:rsidRDefault="001A1049" w:rsidP="001A1049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9416FB4" w14:textId="77777777" w:rsidR="006862B5" w:rsidRPr="00EE60A7" w:rsidRDefault="006862B5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671153" w14:textId="77777777" w:rsidR="00F56E70" w:rsidRPr="00EE60A7" w:rsidRDefault="00F56E70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Portaria SEGER n.º 051-R, 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>de 02/09</w:t>
      </w: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2011 – Estabelece o uso obrigatório do Módulo de Convênios do SIGA para entes 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>e entidades públicas estaduais;</w:t>
      </w:r>
    </w:p>
    <w:p w14:paraId="43107B30" w14:textId="77777777" w:rsidR="00F56E70" w:rsidRPr="00EE60A7" w:rsidRDefault="00F56E70" w:rsidP="00EE60A7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52B8B3" w14:textId="77777777" w:rsidR="00F56E70" w:rsidRPr="00EE60A7" w:rsidRDefault="00F56E70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Portaria SEGER n.º 051-R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>, de 14/12/2012 – Estabelece o uso obrigatório do Módulo de Convênios do SIGA para entes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 xml:space="preserve"> e entidades públicas estaduais;</w:t>
      </w:r>
    </w:p>
    <w:p w14:paraId="0284AA2F" w14:textId="77777777" w:rsidR="00F56E70" w:rsidRPr="00EE60A7" w:rsidRDefault="00F56E70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68189EB" w14:textId="77777777" w:rsidR="00F56E70" w:rsidRPr="00EE60A7" w:rsidRDefault="00F56E70" w:rsidP="00EE60A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Portaria SEGER n.º 010-R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>, de 25/07/2016 – Estabelece os procedimentos e os documentos comprobatórios necessários à obtenção do Certificado de Registro Cadastral de Convênios – CRCC, no âmbito da Administração Pública Est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>adual, e dá outras providências;</w:t>
      </w:r>
    </w:p>
    <w:p w14:paraId="2294C2BC" w14:textId="77777777" w:rsidR="007669D9" w:rsidRPr="00EE60A7" w:rsidRDefault="007669D9" w:rsidP="00EE60A7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FFF5FEB" w14:textId="77777777" w:rsidR="007B23F2" w:rsidRDefault="007669D9" w:rsidP="007B23F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60A7">
        <w:rPr>
          <w:rFonts w:ascii="Arial" w:hAnsi="Arial" w:cs="Arial"/>
          <w:b/>
          <w:bCs/>
          <w:color w:val="000000" w:themeColor="text1"/>
          <w:sz w:val="24"/>
          <w:szCs w:val="24"/>
        </w:rPr>
        <w:t>Instrução Normativa SEGER/SECONT/SEFAZ nº. 001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>, de 01/03/2013</w:t>
      </w:r>
      <w:r w:rsidR="00B96758" w:rsidRPr="00EE60A7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="00B96758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>stabelece</w:t>
      </w:r>
      <w:r w:rsidR="00B96758">
        <w:rPr>
          <w:rFonts w:ascii="Arial" w:hAnsi="Arial" w:cs="Arial"/>
          <w:bCs/>
          <w:color w:val="000000" w:themeColor="text1"/>
          <w:sz w:val="24"/>
          <w:szCs w:val="24"/>
        </w:rPr>
        <w:t xml:space="preserve"> os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 procedimentos para atendimento e adequação </w:t>
      </w:r>
      <w:r w:rsidR="00014051">
        <w:rPr>
          <w:rFonts w:ascii="Arial" w:hAnsi="Arial" w:cs="Arial"/>
          <w:bCs/>
          <w:color w:val="000000" w:themeColor="text1"/>
          <w:sz w:val="24"/>
          <w:szCs w:val="24"/>
        </w:rPr>
        <w:t>dos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 dispositivos contidos no Decreto estadual n.º 2.737-R de 19/04/2011</w:t>
      </w:r>
      <w:r w:rsidR="00B96758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EE60A7">
        <w:rPr>
          <w:rFonts w:ascii="Arial" w:hAnsi="Arial" w:cs="Arial"/>
          <w:bCs/>
          <w:color w:val="000000" w:themeColor="text1"/>
          <w:sz w:val="24"/>
          <w:szCs w:val="24"/>
        </w:rPr>
        <w:t xml:space="preserve"> que normatiza as transferências volu</w:t>
      </w:r>
      <w:r w:rsidR="00002BF0">
        <w:rPr>
          <w:rFonts w:ascii="Arial" w:hAnsi="Arial" w:cs="Arial"/>
          <w:bCs/>
          <w:color w:val="000000" w:themeColor="text1"/>
          <w:sz w:val="24"/>
          <w:szCs w:val="24"/>
        </w:rPr>
        <w:t>ntárias de recursos financeiros;</w:t>
      </w:r>
    </w:p>
    <w:p w14:paraId="430F87FF" w14:textId="77777777" w:rsidR="007B23F2" w:rsidRPr="007B23F2" w:rsidRDefault="007B23F2" w:rsidP="007B23F2">
      <w:pPr>
        <w:pStyle w:val="PargrafodaLista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E1225E" w14:textId="77777777" w:rsidR="00F12917" w:rsidRPr="00B96758" w:rsidRDefault="00F12917" w:rsidP="00F129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96758">
        <w:rPr>
          <w:rFonts w:ascii="Arial" w:hAnsi="Arial" w:cs="Arial"/>
          <w:b/>
          <w:bCs/>
          <w:sz w:val="24"/>
          <w:szCs w:val="24"/>
        </w:rPr>
        <w:t>Enunciado CPGE nº 37</w:t>
      </w:r>
      <w:r w:rsidRPr="00B96758">
        <w:rPr>
          <w:rFonts w:ascii="Arial" w:hAnsi="Arial" w:cs="Arial"/>
          <w:bCs/>
          <w:sz w:val="24"/>
          <w:szCs w:val="24"/>
        </w:rPr>
        <w:t>, de 03/05/2019 – Celebração de convênio com os municípios do Estado do Espírito Santo que envolva transferência de recursos financeiros oriundos do orçamento do Estado</w:t>
      </w:r>
      <w:r w:rsidR="00002BF0">
        <w:rPr>
          <w:rFonts w:ascii="Arial" w:hAnsi="Arial" w:cs="Arial"/>
          <w:bCs/>
          <w:sz w:val="24"/>
          <w:szCs w:val="24"/>
        </w:rPr>
        <w:t>;</w:t>
      </w:r>
    </w:p>
    <w:p w14:paraId="68F05D18" w14:textId="77777777" w:rsidR="00F12917" w:rsidRPr="00B96758" w:rsidRDefault="00F12917" w:rsidP="00F12917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68303F9A" w14:textId="19B207C1" w:rsidR="00F12917" w:rsidRPr="00B96758" w:rsidRDefault="00F12917" w:rsidP="00F1291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96758">
        <w:rPr>
          <w:rFonts w:ascii="Arial" w:hAnsi="Arial" w:cs="Arial"/>
          <w:b/>
          <w:bCs/>
          <w:sz w:val="24"/>
          <w:szCs w:val="24"/>
        </w:rPr>
        <w:t xml:space="preserve">Enunciado CPGE n° </w:t>
      </w:r>
      <w:r w:rsidR="001A1049" w:rsidRPr="00B96758">
        <w:rPr>
          <w:rFonts w:ascii="Arial" w:hAnsi="Arial" w:cs="Arial"/>
          <w:b/>
          <w:bCs/>
          <w:sz w:val="24"/>
          <w:szCs w:val="24"/>
        </w:rPr>
        <w:t>42, de 07/10/2021</w:t>
      </w:r>
      <w:r w:rsidR="00B96758" w:rsidRPr="00B96758">
        <w:rPr>
          <w:rFonts w:ascii="Arial" w:hAnsi="Arial" w:cs="Arial"/>
          <w:bCs/>
          <w:sz w:val="24"/>
          <w:szCs w:val="24"/>
        </w:rPr>
        <w:t xml:space="preserve">– </w:t>
      </w:r>
      <w:r w:rsidR="001A1049" w:rsidRPr="00B96758">
        <w:rPr>
          <w:rFonts w:ascii="Arial" w:hAnsi="Arial" w:cs="Arial"/>
          <w:bCs/>
          <w:sz w:val="24"/>
          <w:szCs w:val="24"/>
        </w:rPr>
        <w:t>Requisitos para formalização de termo aditivo de convênio para utilização de saldo remanescente dos recursos transferidos ou acréscimo de contrapartida of</w:t>
      </w:r>
      <w:r w:rsidR="002F0E26">
        <w:rPr>
          <w:rFonts w:ascii="Arial" w:hAnsi="Arial" w:cs="Arial"/>
          <w:bCs/>
          <w:sz w:val="24"/>
          <w:szCs w:val="24"/>
        </w:rPr>
        <w:t>erecida pelos entes convenentes.</w:t>
      </w:r>
    </w:p>
    <w:p w14:paraId="1E04E7A4" w14:textId="77777777" w:rsidR="00F12917" w:rsidRPr="00B96758" w:rsidRDefault="00F12917" w:rsidP="00F12917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1EF8E55F" w14:textId="77777777" w:rsidR="00F110A9" w:rsidRPr="00EE60A7" w:rsidRDefault="00F110A9" w:rsidP="00925CE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EE60A7">
        <w:rPr>
          <w:rFonts w:ascii="Arial" w:hAnsi="Arial" w:cs="Arial"/>
          <w:b/>
          <w:sz w:val="24"/>
          <w:szCs w:val="24"/>
        </w:rPr>
        <w:t>DEFINIÇÕES</w:t>
      </w:r>
    </w:p>
    <w:p w14:paraId="4D843957" w14:textId="77777777" w:rsidR="0036479F" w:rsidRPr="00EE60A7" w:rsidRDefault="0036479F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F05A71" w14:textId="77777777" w:rsidR="00CE2613" w:rsidRPr="00CE2613" w:rsidRDefault="00CE2613" w:rsidP="00CE2613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Concedente –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 w:rsidRPr="00616931">
        <w:rPr>
          <w:rFonts w:ascii="Arial" w:hAnsi="Arial" w:cs="Arial"/>
          <w:bCs/>
          <w:color w:val="000000" w:themeColor="text1"/>
          <w:sz w:val="24"/>
          <w:szCs w:val="24"/>
        </w:rPr>
        <w:t>rgão ou entidade da administração pública estadual, direta ou indireta, responsável pela transferência dos recursos financeiros ou pela descentralização dos créditos orçamentários destinados à execução do objeto do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convênio;</w:t>
      </w:r>
    </w:p>
    <w:p w14:paraId="52CA732C" w14:textId="77777777" w:rsidR="00CE2613" w:rsidRPr="00CE2613" w:rsidRDefault="00CE2613" w:rsidP="00CE2613">
      <w:pPr>
        <w:pStyle w:val="PargrafodaLista"/>
        <w:rPr>
          <w:rFonts w:ascii="Arial" w:hAnsi="Arial" w:cs="Arial"/>
          <w:sz w:val="24"/>
          <w:szCs w:val="24"/>
        </w:rPr>
      </w:pPr>
    </w:p>
    <w:p w14:paraId="3BB13BD2" w14:textId="77777777" w:rsidR="00CE2613" w:rsidRDefault="00CE2613" w:rsidP="00CE2613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16931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onvenente – </w:t>
      </w:r>
      <w:r>
        <w:rPr>
          <w:rFonts w:ascii="Arial" w:hAnsi="Arial" w:cs="Arial"/>
          <w:sz w:val="24"/>
          <w:szCs w:val="24"/>
        </w:rPr>
        <w:t>Ó</w:t>
      </w:r>
      <w:r w:rsidRPr="00616931">
        <w:rPr>
          <w:rFonts w:ascii="Arial" w:hAnsi="Arial" w:cs="Arial"/>
          <w:sz w:val="24"/>
          <w:szCs w:val="24"/>
        </w:rPr>
        <w:t>rgão ou entidade da administração pública, de qualquer esfera de governo, com o qual a administração estadual pactua a execução de programa, projeto/atividade ou a realização de evento me</w:t>
      </w:r>
      <w:r>
        <w:rPr>
          <w:rFonts w:ascii="Arial" w:hAnsi="Arial" w:cs="Arial"/>
          <w:sz w:val="24"/>
          <w:szCs w:val="24"/>
        </w:rPr>
        <w:t>diante a celebração de convênio;</w:t>
      </w:r>
    </w:p>
    <w:p w14:paraId="1950C327" w14:textId="77777777" w:rsidR="00CE2613" w:rsidRPr="00CE2613" w:rsidRDefault="00CE2613" w:rsidP="00CE26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5B7D2B" w14:textId="77777777" w:rsidR="00616931" w:rsidRDefault="00AF63DF" w:rsidP="0042310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Convênio</w:t>
      </w:r>
      <w:r w:rsidR="00CE261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="00CE261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6479F" w:rsidRPr="00616931">
        <w:rPr>
          <w:rFonts w:ascii="Arial" w:hAnsi="Arial" w:cs="Arial"/>
          <w:sz w:val="24"/>
          <w:szCs w:val="24"/>
        </w:rPr>
        <w:t>nstrumento que disciplina o repasse e o recebimento de recursos públicos e que tenha como partícipes órgãos e entidades da Administração Pública,</w:t>
      </w:r>
      <w:r w:rsidR="00BC60B6">
        <w:rPr>
          <w:rFonts w:ascii="Arial" w:hAnsi="Arial" w:cs="Arial"/>
          <w:sz w:val="24"/>
          <w:szCs w:val="24"/>
        </w:rPr>
        <w:t xml:space="preserve"> </w:t>
      </w:r>
      <w:r w:rsidR="0036479F" w:rsidRPr="00616931">
        <w:rPr>
          <w:rFonts w:ascii="Arial" w:hAnsi="Arial" w:cs="Arial"/>
          <w:sz w:val="24"/>
          <w:szCs w:val="24"/>
        </w:rPr>
        <w:t>Direta e Indireta, de qualquer esfera do governo ou entidades privadas sem fins lucrativos, visando à execução de programa, projeto/ atividade, plano de trabalho ou a realização de evento de interesse recíproco, em regime de mútua cooperação, sem objetivo de lucro e cuja verba repassada permaneça com</w:t>
      </w:r>
      <w:r>
        <w:rPr>
          <w:rFonts w:ascii="Arial" w:hAnsi="Arial" w:cs="Arial"/>
          <w:sz w:val="24"/>
          <w:szCs w:val="24"/>
        </w:rPr>
        <w:t xml:space="preserve"> a natureza de dinheiro público.</w:t>
      </w:r>
    </w:p>
    <w:p w14:paraId="32DDB7D5" w14:textId="77777777" w:rsidR="00616931" w:rsidRPr="00616931" w:rsidRDefault="00616931" w:rsidP="00616931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EE23EB7" w14:textId="77777777" w:rsidR="007153D7" w:rsidRPr="00420241" w:rsidRDefault="00264D57" w:rsidP="0042310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53D7">
        <w:rPr>
          <w:rFonts w:ascii="Arial" w:hAnsi="Arial" w:cs="Arial"/>
          <w:b/>
          <w:sz w:val="24"/>
          <w:szCs w:val="24"/>
        </w:rPr>
        <w:t>Gestor</w:t>
      </w:r>
      <w:r w:rsidR="00E021B2" w:rsidRPr="007153D7">
        <w:rPr>
          <w:rFonts w:ascii="Arial" w:hAnsi="Arial" w:cs="Arial"/>
          <w:b/>
          <w:sz w:val="24"/>
          <w:szCs w:val="24"/>
        </w:rPr>
        <w:t>/Fiscal</w:t>
      </w:r>
      <w:r w:rsidR="00BC60B6">
        <w:rPr>
          <w:rFonts w:ascii="Arial" w:hAnsi="Arial" w:cs="Arial"/>
          <w:b/>
          <w:sz w:val="24"/>
          <w:szCs w:val="24"/>
        </w:rPr>
        <w:t xml:space="preserve"> </w:t>
      </w:r>
      <w:r w:rsidRPr="007153D7">
        <w:rPr>
          <w:rFonts w:ascii="Arial" w:hAnsi="Arial" w:cs="Arial"/>
          <w:b/>
          <w:sz w:val="24"/>
          <w:szCs w:val="24"/>
        </w:rPr>
        <w:t>de Con</w:t>
      </w:r>
      <w:r w:rsidR="00AF63DF">
        <w:rPr>
          <w:rFonts w:ascii="Arial" w:hAnsi="Arial" w:cs="Arial"/>
          <w:b/>
          <w:sz w:val="24"/>
          <w:szCs w:val="24"/>
        </w:rPr>
        <w:t xml:space="preserve">vênio – </w:t>
      </w:r>
      <w:r w:rsidRPr="007153D7">
        <w:rPr>
          <w:rFonts w:ascii="Arial" w:hAnsi="Arial" w:cs="Arial"/>
          <w:color w:val="000000" w:themeColor="text1"/>
          <w:sz w:val="24"/>
          <w:szCs w:val="24"/>
        </w:rPr>
        <w:t xml:space="preserve">Representante </w:t>
      </w:r>
      <w:r w:rsidR="00F56E70" w:rsidRPr="007153D7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6B6FE8" w:rsidRPr="007153D7">
        <w:rPr>
          <w:rFonts w:ascii="Arial" w:hAnsi="Arial" w:cs="Arial"/>
          <w:color w:val="000000" w:themeColor="text1"/>
          <w:sz w:val="24"/>
          <w:szCs w:val="24"/>
        </w:rPr>
        <w:t>concedente</w:t>
      </w:r>
      <w:r w:rsidRPr="007153D7">
        <w:rPr>
          <w:rFonts w:ascii="Arial" w:hAnsi="Arial" w:cs="Arial"/>
          <w:color w:val="000000" w:themeColor="text1"/>
          <w:sz w:val="24"/>
          <w:szCs w:val="24"/>
        </w:rPr>
        <w:t xml:space="preserve"> formalmente designado</w:t>
      </w:r>
      <w:r w:rsidR="00423102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53D7">
        <w:rPr>
          <w:rFonts w:ascii="Arial" w:hAnsi="Arial" w:cs="Arial"/>
          <w:color w:val="000000" w:themeColor="text1"/>
          <w:sz w:val="24"/>
          <w:szCs w:val="24"/>
        </w:rPr>
        <w:t xml:space="preserve"> pelo ordenador de despesas</w:t>
      </w:r>
      <w:r w:rsidR="006B6FE8" w:rsidRPr="007153D7">
        <w:rPr>
          <w:rFonts w:ascii="Arial" w:hAnsi="Arial" w:cs="Arial"/>
          <w:color w:val="000000" w:themeColor="text1"/>
          <w:sz w:val="24"/>
          <w:szCs w:val="24"/>
        </w:rPr>
        <w:t xml:space="preserve"> e registrado no SIGA</w:t>
      </w:r>
      <w:r w:rsidRPr="007153D7">
        <w:rPr>
          <w:rFonts w:ascii="Arial" w:hAnsi="Arial" w:cs="Arial"/>
          <w:color w:val="000000" w:themeColor="text1"/>
          <w:sz w:val="24"/>
          <w:szCs w:val="24"/>
        </w:rPr>
        <w:t>,</w:t>
      </w:r>
      <w:r w:rsidR="006B6FE8" w:rsidRPr="007153D7">
        <w:rPr>
          <w:rFonts w:ascii="Arial" w:hAnsi="Arial" w:cs="Arial"/>
          <w:color w:val="000000" w:themeColor="text1"/>
          <w:sz w:val="24"/>
          <w:szCs w:val="24"/>
        </w:rPr>
        <w:t xml:space="preserve"> para acompanhar e fiscalizar a execução do convênio, que anotará em registro próprio todas as ocorrências relacionadas à consecução do objeto, adotando as medidas necessárias à regulari</w:t>
      </w:r>
      <w:r w:rsidR="00420241">
        <w:rPr>
          <w:rFonts w:ascii="Arial" w:hAnsi="Arial" w:cs="Arial"/>
          <w:color w:val="000000" w:themeColor="text1"/>
          <w:sz w:val="24"/>
          <w:szCs w:val="24"/>
        </w:rPr>
        <w:t>zação das falhas observadas;</w:t>
      </w:r>
    </w:p>
    <w:p w14:paraId="488CF89A" w14:textId="77777777" w:rsidR="00420241" w:rsidRPr="00420241" w:rsidRDefault="00420241" w:rsidP="00420241">
      <w:pPr>
        <w:pStyle w:val="PargrafodaLista"/>
        <w:rPr>
          <w:rFonts w:ascii="Arial" w:hAnsi="Arial" w:cs="Arial"/>
          <w:sz w:val="24"/>
          <w:szCs w:val="24"/>
        </w:rPr>
      </w:pPr>
    </w:p>
    <w:p w14:paraId="4AE3F3FF" w14:textId="77777777" w:rsidR="00CE2613" w:rsidRPr="00CE2613" w:rsidRDefault="00CE2613" w:rsidP="00CE2613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53D7">
        <w:rPr>
          <w:rFonts w:ascii="Arial" w:hAnsi="Arial" w:cs="Arial"/>
          <w:b/>
          <w:color w:val="000000" w:themeColor="text1"/>
          <w:sz w:val="24"/>
          <w:szCs w:val="24"/>
        </w:rPr>
        <w:t xml:space="preserve">Portal de Convênios do Estado do Espírito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Santo – </w:t>
      </w:r>
      <w:r>
        <w:rPr>
          <w:rFonts w:ascii="Arial" w:hAnsi="Arial" w:cs="Arial"/>
          <w:sz w:val="24"/>
          <w:szCs w:val="24"/>
        </w:rPr>
        <w:t>S</w:t>
      </w:r>
      <w:r w:rsidRPr="007153D7">
        <w:rPr>
          <w:rFonts w:ascii="Arial" w:hAnsi="Arial" w:cs="Arial"/>
          <w:sz w:val="24"/>
          <w:szCs w:val="24"/>
        </w:rPr>
        <w:t xml:space="preserve">ítio eletrônico que abriga o Módulo de Convênios do SIGA, bem como todo o conjunto de </w:t>
      </w:r>
      <w:r w:rsidRPr="007153D7">
        <w:rPr>
          <w:rFonts w:ascii="Arial" w:hAnsi="Arial" w:cs="Arial"/>
          <w:sz w:val="24"/>
          <w:szCs w:val="24"/>
        </w:rPr>
        <w:lastRenderedPageBreak/>
        <w:t xml:space="preserve">informações relacionadas a convênios, disponível no endereço eletrônico </w:t>
      </w:r>
      <w:hyperlink r:id="rId8" w:history="1">
        <w:r w:rsidRPr="00423102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www.convenios.es.gov.br</w:t>
        </w:r>
      </w:hyperlink>
      <w:r>
        <w:rPr>
          <w:rFonts w:ascii="Arial" w:hAnsi="Arial" w:cs="Arial"/>
          <w:i/>
          <w:sz w:val="24"/>
          <w:szCs w:val="24"/>
        </w:rPr>
        <w:t>;</w:t>
      </w:r>
    </w:p>
    <w:p w14:paraId="2614505C" w14:textId="77777777" w:rsidR="007153D7" w:rsidRPr="007153D7" w:rsidRDefault="007153D7" w:rsidP="00423102">
      <w:pPr>
        <w:pStyle w:val="PargrafodaLista"/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745BA146" w14:textId="77777777" w:rsidR="00420241" w:rsidRDefault="00420241" w:rsidP="0042024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Siga – </w:t>
      </w:r>
      <w:r w:rsidRPr="007153D7">
        <w:rPr>
          <w:rFonts w:ascii="Arial" w:hAnsi="Arial" w:cs="Arial"/>
          <w:b/>
          <w:sz w:val="24"/>
          <w:szCs w:val="24"/>
        </w:rPr>
        <w:t xml:space="preserve">Sistema Integrado </w:t>
      </w:r>
      <w:r>
        <w:rPr>
          <w:rFonts w:ascii="Arial" w:hAnsi="Arial" w:cs="Arial"/>
          <w:b/>
          <w:sz w:val="24"/>
          <w:szCs w:val="24"/>
        </w:rPr>
        <w:t xml:space="preserve">de Gestão Administrativa – </w:t>
      </w:r>
      <w:r w:rsidRPr="007153D7">
        <w:rPr>
          <w:rFonts w:ascii="Arial" w:hAnsi="Arial" w:cs="Arial"/>
          <w:sz w:val="24"/>
          <w:szCs w:val="24"/>
        </w:rPr>
        <w:t>Sistema de informações que possibilita a gestão, acompanhamento e fiscalização de todas das transferências voluntárias do Estado, sendo de utilização obrigatória para entes e entidades públicas</w:t>
      </w:r>
      <w:r>
        <w:rPr>
          <w:rFonts w:ascii="Arial" w:hAnsi="Arial" w:cs="Arial"/>
          <w:sz w:val="24"/>
          <w:szCs w:val="24"/>
        </w:rPr>
        <w:t>;</w:t>
      </w:r>
    </w:p>
    <w:p w14:paraId="7A47020C" w14:textId="77777777" w:rsidR="00420241" w:rsidRPr="00420241" w:rsidRDefault="00420241" w:rsidP="00420241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7BF7687D" w14:textId="223CD518" w:rsidR="007153D7" w:rsidRPr="00057BC3" w:rsidRDefault="00264D57" w:rsidP="0042310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53D7">
        <w:rPr>
          <w:rFonts w:ascii="Arial" w:hAnsi="Arial" w:cs="Arial"/>
          <w:b/>
          <w:sz w:val="24"/>
          <w:szCs w:val="24"/>
        </w:rPr>
        <w:t>Suplente (Gestor)</w:t>
      </w:r>
      <w:r w:rsidR="00AF63DF">
        <w:rPr>
          <w:rFonts w:ascii="Arial" w:hAnsi="Arial" w:cs="Arial"/>
          <w:b/>
          <w:sz w:val="24"/>
          <w:szCs w:val="24"/>
        </w:rPr>
        <w:t xml:space="preserve"> – </w:t>
      </w:r>
      <w:r w:rsidRPr="007153D7">
        <w:rPr>
          <w:rFonts w:ascii="Arial" w:hAnsi="Arial" w:cs="Arial"/>
          <w:color w:val="000000" w:themeColor="text1"/>
          <w:sz w:val="24"/>
          <w:szCs w:val="24"/>
        </w:rPr>
        <w:t xml:space="preserve">Representante </w:t>
      </w:r>
      <w:r w:rsidR="006B6FE8" w:rsidRPr="007153D7">
        <w:rPr>
          <w:rFonts w:ascii="Arial" w:hAnsi="Arial" w:cs="Arial"/>
          <w:color w:val="000000" w:themeColor="text1"/>
          <w:sz w:val="24"/>
          <w:szCs w:val="24"/>
        </w:rPr>
        <w:t>do concedente</w:t>
      </w:r>
      <w:r w:rsidRPr="007153D7">
        <w:rPr>
          <w:rFonts w:ascii="Arial" w:hAnsi="Arial" w:cs="Arial"/>
          <w:color w:val="000000" w:themeColor="text1"/>
          <w:sz w:val="24"/>
          <w:szCs w:val="24"/>
        </w:rPr>
        <w:t xml:space="preserve">, formalmente designado pelo ordenador de despesas, para atuar na ausência do gestor titular, ficando responsável integralmente pelas atividades e responsabilidades </w:t>
      </w:r>
      <w:r w:rsidR="0036479F" w:rsidRPr="007153D7">
        <w:rPr>
          <w:rFonts w:ascii="Arial" w:hAnsi="Arial" w:cs="Arial"/>
          <w:color w:val="000000" w:themeColor="text1"/>
          <w:sz w:val="24"/>
          <w:szCs w:val="24"/>
        </w:rPr>
        <w:t>destes</w:t>
      </w:r>
      <w:r w:rsidR="00057BC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D706EC8" w14:textId="77777777" w:rsidR="00CE2613" w:rsidRPr="00CE2613" w:rsidRDefault="00CE2613" w:rsidP="00CE2613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D56D3BC" w14:textId="77777777" w:rsidR="00CE2613" w:rsidRDefault="00CE2613" w:rsidP="00CE2613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Unidade</w:t>
      </w:r>
      <w:r w:rsidRPr="00616931">
        <w:rPr>
          <w:rFonts w:ascii="Arial" w:hAnsi="Arial" w:cs="Arial"/>
          <w:b/>
          <w:sz w:val="24"/>
          <w:szCs w:val="24"/>
        </w:rPr>
        <w:t xml:space="preserve"> Técnic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616931">
        <w:rPr>
          <w:rFonts w:ascii="Arial" w:hAnsi="Arial" w:cs="Arial"/>
          <w:b/>
          <w:sz w:val="24"/>
          <w:szCs w:val="24"/>
        </w:rPr>
        <w:t>ou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6931">
        <w:rPr>
          <w:rFonts w:ascii="Arial" w:hAnsi="Arial" w:cs="Arial"/>
          <w:b/>
          <w:sz w:val="24"/>
          <w:szCs w:val="24"/>
        </w:rPr>
        <w:t>Administrativ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– Unidade</w:t>
      </w:r>
      <w:r w:rsidRPr="00616931">
        <w:rPr>
          <w:rFonts w:ascii="Arial" w:hAnsi="Arial" w:cs="Arial"/>
          <w:sz w:val="24"/>
          <w:szCs w:val="24"/>
        </w:rPr>
        <w:t xml:space="preserve"> responsável pelo recebimento, análise e subsídio ao ordenador de despesas na aprovação do plano de trabalho, viabilizando a celebração do instrumento de convênio, especialmente no S</w:t>
      </w:r>
      <w:r>
        <w:rPr>
          <w:rFonts w:ascii="Arial" w:hAnsi="Arial" w:cs="Arial"/>
          <w:sz w:val="24"/>
          <w:szCs w:val="24"/>
        </w:rPr>
        <w:t>iga</w:t>
      </w:r>
      <w:r w:rsidRPr="00616931">
        <w:rPr>
          <w:rFonts w:ascii="Arial" w:hAnsi="Arial" w:cs="Arial"/>
          <w:sz w:val="24"/>
          <w:szCs w:val="24"/>
        </w:rPr>
        <w:t>, cabendo ao ente concedente definir internamente as atividades, conforme estrutura que dispuser.</w:t>
      </w:r>
    </w:p>
    <w:p w14:paraId="4705AE69" w14:textId="77777777" w:rsidR="00925CE7" w:rsidRDefault="00925CE7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00C730" w14:textId="77777777" w:rsidR="00F110A9" w:rsidRPr="00EE60A7" w:rsidRDefault="00F110A9" w:rsidP="00925CE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60A7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0C149232" w14:textId="77777777" w:rsidR="00F214C4" w:rsidRDefault="00F214C4" w:rsidP="00F214C4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8953073" w14:textId="757E845F" w:rsidR="00002BF0" w:rsidRDefault="00756E76" w:rsidP="00E11FF3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6E76">
        <w:rPr>
          <w:rFonts w:ascii="Arial" w:hAnsi="Arial" w:cs="Arial"/>
          <w:sz w:val="24"/>
          <w:szCs w:val="24"/>
        </w:rPr>
        <w:t>Convenente</w:t>
      </w:r>
      <w:r>
        <w:rPr>
          <w:rFonts w:ascii="Arial" w:hAnsi="Arial" w:cs="Arial"/>
          <w:sz w:val="24"/>
          <w:szCs w:val="24"/>
        </w:rPr>
        <w:t>;</w:t>
      </w:r>
    </w:p>
    <w:p w14:paraId="602FB422" w14:textId="77777777" w:rsidR="00002BF0" w:rsidRPr="00C81E61" w:rsidRDefault="00002BF0" w:rsidP="00002BF0">
      <w:pPr>
        <w:pStyle w:val="PargrafodaLista"/>
        <w:rPr>
          <w:rFonts w:ascii="Arial" w:hAnsi="Arial" w:cs="Arial"/>
          <w:sz w:val="24"/>
          <w:szCs w:val="24"/>
        </w:rPr>
      </w:pPr>
    </w:p>
    <w:p w14:paraId="211E7450" w14:textId="77777777" w:rsidR="00002BF0" w:rsidRPr="00C81E61" w:rsidRDefault="00002BF0" w:rsidP="00002BF0">
      <w:pPr>
        <w:pStyle w:val="PargrafodaLista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81E61">
        <w:rPr>
          <w:rFonts w:ascii="Arial" w:hAnsi="Arial" w:cs="Arial"/>
          <w:sz w:val="24"/>
          <w:szCs w:val="24"/>
        </w:rPr>
        <w:t>Unidade Técnica ou Administrativa (Concedente).</w:t>
      </w:r>
    </w:p>
    <w:p w14:paraId="2860F37C" w14:textId="77777777" w:rsidR="00E711D3" w:rsidRPr="00EE60A7" w:rsidRDefault="00E711D3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69AE65" w14:textId="77777777" w:rsidR="00F110A9" w:rsidRPr="00EE60A7" w:rsidRDefault="00F110A9" w:rsidP="00925CE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60A7">
        <w:rPr>
          <w:rFonts w:ascii="Arial" w:hAnsi="Arial" w:cs="Arial"/>
          <w:b/>
          <w:bCs/>
          <w:sz w:val="24"/>
          <w:szCs w:val="24"/>
        </w:rPr>
        <w:t>PROCEDIMENTOS</w:t>
      </w:r>
    </w:p>
    <w:p w14:paraId="33542412" w14:textId="77777777" w:rsidR="003C2B2F" w:rsidRPr="00EE60A7" w:rsidRDefault="003C2B2F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F8960A" w14:textId="34817BFA" w:rsidR="00825513" w:rsidRDefault="00F214C4" w:rsidP="00EE6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Extinção, Denúncia ou Rescisão </w:t>
      </w:r>
      <w:r w:rsidR="00825513" w:rsidRPr="00EE60A7">
        <w:rPr>
          <w:rFonts w:ascii="Arial" w:hAnsi="Arial" w:cs="Arial"/>
          <w:b/>
          <w:bCs/>
          <w:sz w:val="24"/>
          <w:szCs w:val="24"/>
        </w:rPr>
        <w:t>de Convênios</w:t>
      </w:r>
    </w:p>
    <w:p w14:paraId="66089042" w14:textId="77777777" w:rsidR="009A6E30" w:rsidRDefault="009A6E3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328F0" w14:textId="77777777" w:rsidR="003533BD" w:rsidRPr="003533BD" w:rsidRDefault="005D0F3F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Além da conclusão natural do convênio, por meio da execução de seu objeto, o Decreto </w:t>
      </w:r>
      <w:r w:rsidRPr="003533BD">
        <w:rPr>
          <w:rFonts w:ascii="Arial" w:hAnsi="Arial" w:cs="Arial"/>
          <w:color w:val="000000" w:themeColor="text1"/>
          <w:sz w:val="24"/>
          <w:szCs w:val="24"/>
        </w:rPr>
        <w:t>2.737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576F5C">
        <w:rPr>
          <w:rFonts w:ascii="Arial" w:hAnsi="Arial" w:cs="Arial"/>
          <w:color w:val="000000" w:themeColor="text1"/>
          <w:sz w:val="24"/>
          <w:szCs w:val="24"/>
        </w:rPr>
        <w:t xml:space="preserve">R, </w:t>
      </w:r>
      <w:r w:rsidRPr="003533BD">
        <w:rPr>
          <w:rFonts w:ascii="Arial" w:hAnsi="Arial" w:cs="Arial"/>
          <w:color w:val="000000" w:themeColor="text1"/>
          <w:sz w:val="24"/>
          <w:szCs w:val="24"/>
        </w:rPr>
        <w:t>de 19.04.2011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prevê outras formas de término desse tipo de ajuste, que são: Extinção, Denúncia </w:t>
      </w:r>
      <w:r w:rsidRPr="00A87439">
        <w:rPr>
          <w:rFonts w:ascii="Arial" w:hAnsi="Arial" w:cs="Arial"/>
          <w:color w:val="000000" w:themeColor="text1"/>
          <w:sz w:val="24"/>
          <w:szCs w:val="24"/>
        </w:rPr>
        <w:t>e</w:t>
      </w:r>
      <w:r w:rsidR="00BC60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Rescisão.</w:t>
      </w:r>
    </w:p>
    <w:p w14:paraId="35966DC8" w14:textId="77777777" w:rsidR="003533BD" w:rsidRDefault="003533BD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FE6F64" w14:textId="77777777" w:rsidR="005D0F3F" w:rsidRDefault="005D0F3F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 acordo com o Art. 15, parágrafo 5º do referido Decreto, a extinção do convêni</w:t>
      </w:r>
      <w:r w:rsidR="005D5017">
        <w:rPr>
          <w:rFonts w:ascii="Arial" w:hAnsi="Arial" w:cs="Arial"/>
          <w:color w:val="000000" w:themeColor="text1"/>
          <w:sz w:val="24"/>
          <w:szCs w:val="24"/>
        </w:rPr>
        <w:t>o é cabível nos casos em que o projeto e</w:t>
      </w:r>
      <w:r>
        <w:rPr>
          <w:rFonts w:ascii="Arial" w:hAnsi="Arial" w:cs="Arial"/>
          <w:color w:val="000000" w:themeColor="text1"/>
          <w:sz w:val="24"/>
          <w:szCs w:val="24"/>
        </w:rPr>
        <w:t>xecutivo não seja entregue no prazo estabelecido ou receba parecer contrário à sua aprovação.</w:t>
      </w:r>
    </w:p>
    <w:p w14:paraId="4A043215" w14:textId="77777777" w:rsidR="005D0F3F" w:rsidRPr="003533BD" w:rsidRDefault="005D0F3F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0238E8" w14:textId="77777777" w:rsidR="008568A0" w:rsidRDefault="003533BD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33BD">
        <w:rPr>
          <w:rFonts w:ascii="Arial" w:hAnsi="Arial" w:cs="Arial"/>
          <w:color w:val="000000" w:themeColor="text1"/>
          <w:sz w:val="24"/>
          <w:szCs w:val="24"/>
        </w:rPr>
        <w:t xml:space="preserve">De acordo com o Art. 51 do </w:t>
      </w:r>
      <w:r w:rsidR="008568A0">
        <w:rPr>
          <w:rFonts w:ascii="Arial" w:hAnsi="Arial" w:cs="Arial"/>
          <w:color w:val="000000" w:themeColor="text1"/>
          <w:sz w:val="24"/>
          <w:szCs w:val="24"/>
        </w:rPr>
        <w:t xml:space="preserve">referido Decreto, </w:t>
      </w:r>
      <w:r w:rsidR="005D0F3F">
        <w:rPr>
          <w:rFonts w:ascii="Arial" w:hAnsi="Arial" w:cs="Arial"/>
          <w:color w:val="000000" w:themeColor="text1"/>
          <w:sz w:val="24"/>
          <w:szCs w:val="24"/>
        </w:rPr>
        <w:t xml:space="preserve">o convênio pode </w:t>
      </w:r>
      <w:r w:rsidR="008568A0">
        <w:rPr>
          <w:rFonts w:ascii="Arial" w:hAnsi="Arial" w:cs="Arial"/>
          <w:color w:val="000000" w:themeColor="text1"/>
          <w:sz w:val="24"/>
          <w:szCs w:val="24"/>
        </w:rPr>
        <w:t xml:space="preserve">ser </w:t>
      </w:r>
      <w:r w:rsidR="008568A0" w:rsidRPr="008568A0">
        <w:rPr>
          <w:rFonts w:ascii="Arial" w:hAnsi="Arial" w:cs="Arial"/>
          <w:color w:val="000000" w:themeColor="text1"/>
          <w:sz w:val="24"/>
          <w:szCs w:val="24"/>
        </w:rPr>
        <w:t>denunciado</w:t>
      </w:r>
      <w:r w:rsidR="008568A0">
        <w:rPr>
          <w:rFonts w:ascii="Arial" w:hAnsi="Arial" w:cs="Arial"/>
          <w:color w:val="000000" w:themeColor="text1"/>
          <w:sz w:val="24"/>
          <w:szCs w:val="24"/>
        </w:rPr>
        <w:t xml:space="preserve"> a qualquer tempo, ficando os partícipes responsáveis somente pelas obrigações e auferindo </w:t>
      </w:r>
      <w:r w:rsidR="008568A0" w:rsidRPr="008568A0">
        <w:rPr>
          <w:rFonts w:ascii="Arial" w:hAnsi="Arial" w:cs="Arial"/>
          <w:color w:val="000000" w:themeColor="text1"/>
          <w:sz w:val="24"/>
          <w:szCs w:val="24"/>
        </w:rPr>
        <w:t>as</w:t>
      </w:r>
      <w:r w:rsidR="008568A0">
        <w:rPr>
          <w:rFonts w:ascii="Arial" w:hAnsi="Arial" w:cs="Arial"/>
          <w:color w:val="000000" w:themeColor="text1"/>
          <w:sz w:val="24"/>
          <w:szCs w:val="24"/>
        </w:rPr>
        <w:t xml:space="preserve"> vantagens do tempo em que participaram voluntariamente da avença, não </w:t>
      </w:r>
      <w:r w:rsidR="008568A0" w:rsidRPr="008568A0">
        <w:rPr>
          <w:rFonts w:ascii="Arial" w:hAnsi="Arial" w:cs="Arial"/>
          <w:color w:val="000000" w:themeColor="text1"/>
          <w:sz w:val="24"/>
          <w:szCs w:val="24"/>
        </w:rPr>
        <w:t>sendo</w:t>
      </w:r>
      <w:r w:rsidR="00BC60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68A0" w:rsidRPr="008568A0">
        <w:rPr>
          <w:rFonts w:ascii="Arial" w:hAnsi="Arial" w:cs="Arial"/>
          <w:color w:val="000000" w:themeColor="text1"/>
          <w:sz w:val="24"/>
          <w:szCs w:val="24"/>
        </w:rPr>
        <w:t>admissí</w:t>
      </w:r>
      <w:r w:rsidR="008568A0">
        <w:rPr>
          <w:rFonts w:ascii="Arial" w:hAnsi="Arial" w:cs="Arial"/>
          <w:color w:val="000000" w:themeColor="text1"/>
          <w:sz w:val="24"/>
          <w:szCs w:val="24"/>
        </w:rPr>
        <w:t xml:space="preserve">vel cláusula obrigatória de </w:t>
      </w:r>
      <w:r w:rsidR="008568A0" w:rsidRPr="008568A0">
        <w:rPr>
          <w:rFonts w:ascii="Arial" w:hAnsi="Arial" w:cs="Arial"/>
          <w:color w:val="000000" w:themeColor="text1"/>
          <w:sz w:val="24"/>
          <w:szCs w:val="24"/>
        </w:rPr>
        <w:t>permanência ou sancionadora dos denunciantes.</w:t>
      </w:r>
    </w:p>
    <w:p w14:paraId="564DD7A0" w14:textId="77777777" w:rsidR="008568A0" w:rsidRDefault="008568A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5E993" w14:textId="77777777" w:rsidR="003533BD" w:rsidRPr="003533BD" w:rsidRDefault="008568A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 acordo com Art. 52 do referido Decreto, </w:t>
      </w:r>
      <w:r w:rsidR="003E74C6">
        <w:rPr>
          <w:rFonts w:ascii="Arial" w:hAnsi="Arial" w:cs="Arial"/>
          <w:color w:val="000000" w:themeColor="text1"/>
          <w:sz w:val="24"/>
          <w:szCs w:val="24"/>
        </w:rPr>
        <w:t>constituem motivos para a rescisão do convênio, o inadimplemento de qualquer das cláusulas pactuadas; constatação, a qualquer tempo, de falsidade ou incorreção de informação em qualquer documento apresentado; a verificação de qualquer circunstância que enseje a instauração de tomada de contas.</w:t>
      </w:r>
    </w:p>
    <w:p w14:paraId="11EE54B8" w14:textId="77777777" w:rsidR="00BB05F3" w:rsidRPr="00D43AAD" w:rsidRDefault="00BB05F3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F34BFAD" w14:textId="77777777" w:rsidR="00835F94" w:rsidRDefault="006D1C2A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T01 – </w:t>
      </w:r>
      <w:r w:rsidR="00835F94" w:rsidRPr="00835F94">
        <w:rPr>
          <w:rFonts w:ascii="Arial" w:hAnsi="Arial" w:cs="Arial"/>
          <w:color w:val="000000" w:themeColor="text1"/>
          <w:sz w:val="24"/>
          <w:szCs w:val="24"/>
        </w:rPr>
        <w:t>Verificar existência de saldo a devolver e/ou prestação de contas a apresentar</w:t>
      </w:r>
    </w:p>
    <w:p w14:paraId="25AA4FD4" w14:textId="77777777" w:rsid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C534C9" w14:textId="77777777" w:rsid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De acordo com a motivação do término e/ou fase em que o convênio se encontra, podem existir saldos a devolver e/ou prestação de contas a ser apresentada. Se houver, é obrigatória a devolução/apresentação por parte do convenente, de acordo com o Art. 51, parágrafo único do citado Decreto.</w:t>
      </w:r>
    </w:p>
    <w:p w14:paraId="5586C268" w14:textId="77777777" w:rsidR="00835F94" w:rsidRPr="00D43AAD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DD033F" w14:textId="205B22AC" w:rsidR="00131434" w:rsidRPr="005D0F3F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existir saldo a devolver e/ou prestação de contas a apresenta</w:t>
      </w:r>
      <w:r w:rsidR="005D0F3F">
        <w:rPr>
          <w:rFonts w:ascii="Arial" w:hAnsi="Arial" w:cs="Arial"/>
          <w:color w:val="000000" w:themeColor="text1"/>
          <w:sz w:val="24"/>
          <w:szCs w:val="24"/>
        </w:rPr>
        <w:t>r</w:t>
      </w:r>
      <w:r w:rsidR="00131434" w:rsidRPr="00D43AAD">
        <w:rPr>
          <w:rFonts w:ascii="Arial" w:hAnsi="Arial" w:cs="Arial"/>
          <w:color w:val="000000" w:themeColor="text1"/>
          <w:sz w:val="24"/>
          <w:szCs w:val="24"/>
        </w:rPr>
        <w:t>, segu</w:t>
      </w:r>
      <w:r w:rsidR="00C0769F">
        <w:rPr>
          <w:rFonts w:ascii="Arial" w:hAnsi="Arial" w:cs="Arial"/>
          <w:color w:val="000000" w:themeColor="text1"/>
          <w:sz w:val="24"/>
          <w:szCs w:val="24"/>
        </w:rPr>
        <w:t>e</w:t>
      </w:r>
      <w:r w:rsidR="00131434" w:rsidRPr="00D43A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D0F3F">
        <w:rPr>
          <w:rFonts w:ascii="Arial" w:hAnsi="Arial" w:cs="Arial"/>
          <w:sz w:val="24"/>
          <w:szCs w:val="24"/>
        </w:rPr>
        <w:t>T02</w:t>
      </w:r>
      <w:r w:rsidR="00131434" w:rsidRPr="005D0F3F">
        <w:rPr>
          <w:rFonts w:ascii="Arial" w:hAnsi="Arial" w:cs="Arial"/>
          <w:sz w:val="24"/>
          <w:szCs w:val="24"/>
        </w:rPr>
        <w:t>.</w:t>
      </w:r>
      <w:r w:rsidR="00C0769F">
        <w:rPr>
          <w:rFonts w:ascii="Arial" w:hAnsi="Arial" w:cs="Arial"/>
          <w:sz w:val="24"/>
          <w:szCs w:val="24"/>
        </w:rPr>
        <w:t xml:space="preserve"> Caso negativo</w:t>
      </w:r>
      <w:r w:rsidR="00131434" w:rsidRPr="005D0F3F">
        <w:rPr>
          <w:rFonts w:ascii="Arial" w:hAnsi="Arial" w:cs="Arial"/>
          <w:sz w:val="24"/>
          <w:szCs w:val="24"/>
        </w:rPr>
        <w:t>, segu</w:t>
      </w:r>
      <w:r w:rsidR="00C0769F">
        <w:rPr>
          <w:rFonts w:ascii="Arial" w:hAnsi="Arial" w:cs="Arial"/>
          <w:sz w:val="24"/>
          <w:szCs w:val="24"/>
        </w:rPr>
        <w:t>e</w:t>
      </w:r>
      <w:r w:rsidR="00131434" w:rsidRPr="005D0F3F">
        <w:rPr>
          <w:rFonts w:ascii="Arial" w:hAnsi="Arial" w:cs="Arial"/>
          <w:sz w:val="24"/>
          <w:szCs w:val="24"/>
        </w:rPr>
        <w:t xml:space="preserve"> </w:t>
      </w:r>
      <w:r w:rsidRPr="005D0F3F">
        <w:rPr>
          <w:rFonts w:ascii="Arial" w:hAnsi="Arial" w:cs="Arial"/>
          <w:sz w:val="24"/>
          <w:szCs w:val="24"/>
        </w:rPr>
        <w:t>T04.</w:t>
      </w:r>
    </w:p>
    <w:p w14:paraId="12D25E35" w14:textId="77777777" w:rsid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B74D452" w14:textId="77777777" w:rsidR="00835F94" w:rsidRDefault="006D1C2A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T02 – </w:t>
      </w:r>
      <w:r w:rsidR="00835F94" w:rsidRPr="00835F94">
        <w:rPr>
          <w:rFonts w:ascii="Arial" w:hAnsi="Arial" w:cs="Arial"/>
          <w:color w:val="000000" w:themeColor="text1"/>
          <w:sz w:val="24"/>
          <w:szCs w:val="24"/>
        </w:rPr>
        <w:t>Solicitar devolução de saldo remanescente e/ou apresentação da prestação de contas</w:t>
      </w:r>
    </w:p>
    <w:p w14:paraId="3C02290D" w14:textId="77777777" w:rsid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EDBAB4" w14:textId="77777777" w:rsidR="00835F94" w:rsidRDefault="006D1C2A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T03 – </w:t>
      </w:r>
      <w:r w:rsidR="00835F94" w:rsidRPr="00835F94">
        <w:rPr>
          <w:rFonts w:ascii="Arial" w:hAnsi="Arial" w:cs="Arial"/>
          <w:color w:val="000000" w:themeColor="text1"/>
          <w:sz w:val="24"/>
          <w:szCs w:val="24"/>
        </w:rPr>
        <w:t>Providenciar devolução de saldo remanescente e/ou prestação de contas</w:t>
      </w:r>
    </w:p>
    <w:p w14:paraId="70206334" w14:textId="77777777" w:rsidR="004E2BF0" w:rsidRDefault="004E2BF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ABD99" w14:textId="4B32DDA5" w:rsidR="004E2BF0" w:rsidRPr="00835F94" w:rsidRDefault="004E2BF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Os saldos financeiros remanescentes e/ou a apresentação da prestação de contas deve ocorrer no prazo improrrogável de 30</w:t>
      </w:r>
      <w:r w:rsidR="006D1C2A">
        <w:rPr>
          <w:rFonts w:ascii="Arial" w:hAnsi="Arial" w:cs="Arial"/>
          <w:color w:val="000000" w:themeColor="text1"/>
          <w:sz w:val="24"/>
          <w:szCs w:val="24"/>
        </w:rPr>
        <w:t xml:space="preserve"> (trinta)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dias do evento, sob pena de imediata instauração de tomada de contas.</w:t>
      </w:r>
      <w:r w:rsidR="00C0769F">
        <w:rPr>
          <w:rFonts w:ascii="Arial" w:hAnsi="Arial" w:cs="Arial"/>
          <w:color w:val="000000" w:themeColor="text1"/>
          <w:sz w:val="24"/>
          <w:szCs w:val="24"/>
        </w:rPr>
        <w:t xml:space="preserve"> Caso seja providenciado, segue T04. Caso negativo, segue T05.</w:t>
      </w:r>
    </w:p>
    <w:p w14:paraId="56986C39" w14:textId="77777777" w:rsid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07CB826" w14:textId="796DE193" w:rsidR="00E22CA0" w:rsidRDefault="006D1C2A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T04 – </w:t>
      </w:r>
      <w:r w:rsidR="00E22CA0">
        <w:rPr>
          <w:rFonts w:ascii="Arial" w:hAnsi="Arial" w:cs="Arial"/>
          <w:color w:val="000000" w:themeColor="text1"/>
          <w:sz w:val="24"/>
          <w:szCs w:val="24"/>
        </w:rPr>
        <w:t>Formalizar</w:t>
      </w:r>
      <w:r w:rsidR="00C0769F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E22CA0">
        <w:rPr>
          <w:rFonts w:ascii="Arial" w:hAnsi="Arial" w:cs="Arial"/>
          <w:color w:val="000000" w:themeColor="text1"/>
          <w:sz w:val="24"/>
          <w:szCs w:val="24"/>
        </w:rPr>
        <w:t xml:space="preserve"> término do convênio</w:t>
      </w:r>
    </w:p>
    <w:p w14:paraId="3BB163CB" w14:textId="77777777" w:rsid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4E425B" w14:textId="77777777" w:rsidR="00E22CA0" w:rsidRPr="00835F94" w:rsidRDefault="00E22CA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Caberá a confecção de ato ou termo de acordo com a m</w:t>
      </w:r>
      <w:r w:rsidR="006D1C2A">
        <w:rPr>
          <w:rFonts w:ascii="Arial" w:hAnsi="Arial" w:cs="Arial"/>
          <w:color w:val="000000" w:themeColor="text1"/>
          <w:sz w:val="24"/>
          <w:szCs w:val="24"/>
        </w:rPr>
        <w:t>otivação do término (denúncia, r</w:t>
      </w:r>
      <w:r>
        <w:rPr>
          <w:rFonts w:ascii="Arial" w:hAnsi="Arial" w:cs="Arial"/>
          <w:color w:val="000000" w:themeColor="text1"/>
          <w:sz w:val="24"/>
          <w:szCs w:val="24"/>
        </w:rPr>
        <w:t>escisão ou extinção), com o respectivo fundamento legal e assinatura das partes, se necessário, por intermédio das autoridades competentes.</w:t>
      </w:r>
    </w:p>
    <w:p w14:paraId="18546E35" w14:textId="77777777" w:rsidR="00835F94" w:rsidRPr="00835F94" w:rsidRDefault="00835F94" w:rsidP="00FA6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14B63A" w14:textId="77777777" w:rsidR="004E2BF0" w:rsidRPr="00835F94" w:rsidRDefault="006D1C2A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T05 – </w:t>
      </w:r>
      <w:r w:rsidR="00835F94" w:rsidRPr="00835F94">
        <w:rPr>
          <w:rFonts w:ascii="Arial" w:hAnsi="Arial" w:cs="Arial"/>
          <w:color w:val="000000" w:themeColor="text1"/>
          <w:sz w:val="24"/>
          <w:szCs w:val="24"/>
        </w:rPr>
        <w:t>Apurar e informar o valor do dano</w:t>
      </w:r>
    </w:p>
    <w:p w14:paraId="079FBA26" w14:textId="77777777" w:rsidR="00835F94" w:rsidRP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B4E6A6" w14:textId="77777777" w:rsidR="00835F94" w:rsidRDefault="006D1C2A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T06 – </w:t>
      </w:r>
      <w:r w:rsidR="00835F94" w:rsidRPr="00835F94">
        <w:rPr>
          <w:rFonts w:ascii="Arial" w:hAnsi="Arial" w:cs="Arial"/>
          <w:color w:val="000000" w:themeColor="text1"/>
          <w:sz w:val="24"/>
          <w:szCs w:val="24"/>
        </w:rPr>
        <w:t>Notificar para devolução do valor correspondente ao dano</w:t>
      </w:r>
    </w:p>
    <w:p w14:paraId="5801338A" w14:textId="77777777" w:rsidR="005D5017" w:rsidRDefault="005D5017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2308AE" w14:textId="77777777" w:rsidR="00835F94" w:rsidRDefault="006D1C2A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T07 – </w:t>
      </w:r>
      <w:r w:rsidR="00835F94" w:rsidRPr="00835F94">
        <w:rPr>
          <w:rFonts w:ascii="Arial" w:hAnsi="Arial" w:cs="Arial"/>
          <w:color w:val="000000" w:themeColor="text1"/>
          <w:sz w:val="24"/>
          <w:szCs w:val="24"/>
        </w:rPr>
        <w:t>Devolver o valor correspondente ao dano</w:t>
      </w:r>
    </w:p>
    <w:p w14:paraId="7810C2FD" w14:textId="77777777" w:rsidR="008058BE" w:rsidRDefault="008058BE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156490" w14:textId="7246D63D" w:rsidR="00835F94" w:rsidRDefault="00BE4605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Caso </w:t>
      </w:r>
      <w:r w:rsidR="004A08A6">
        <w:rPr>
          <w:rFonts w:ascii="Arial" w:hAnsi="Arial" w:cs="Arial"/>
          <w:color w:val="000000" w:themeColor="text1"/>
          <w:sz w:val="24"/>
          <w:szCs w:val="24"/>
        </w:rPr>
        <w:t>o valor seja devolvido</w:t>
      </w:r>
      <w:r>
        <w:rPr>
          <w:rFonts w:ascii="Arial" w:hAnsi="Arial" w:cs="Arial"/>
          <w:color w:val="000000" w:themeColor="text1"/>
          <w:sz w:val="24"/>
          <w:szCs w:val="24"/>
        </w:rPr>
        <w:t>, segu</w:t>
      </w:r>
      <w:r w:rsidR="004A08A6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T04. </w:t>
      </w:r>
      <w:r w:rsidR="004A08A6">
        <w:rPr>
          <w:rFonts w:ascii="Arial" w:hAnsi="Arial" w:cs="Arial"/>
          <w:color w:val="000000" w:themeColor="text1"/>
          <w:sz w:val="24"/>
          <w:szCs w:val="24"/>
        </w:rPr>
        <w:t>Caso negativo</w:t>
      </w:r>
      <w:r>
        <w:rPr>
          <w:rFonts w:ascii="Arial" w:hAnsi="Arial" w:cs="Arial"/>
          <w:color w:val="000000" w:themeColor="text1"/>
          <w:sz w:val="24"/>
          <w:szCs w:val="24"/>
        </w:rPr>
        <w:t>, segu</w:t>
      </w:r>
      <w:r w:rsidR="004A08A6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08A6">
        <w:rPr>
          <w:rFonts w:ascii="Arial" w:hAnsi="Arial" w:cs="Arial"/>
          <w:color w:val="000000" w:themeColor="text1"/>
          <w:sz w:val="24"/>
          <w:szCs w:val="24"/>
        </w:rPr>
        <w:t>paralelamente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T04 e T09.</w:t>
      </w:r>
    </w:p>
    <w:p w14:paraId="017F5FDD" w14:textId="77777777" w:rsidR="00C81E61" w:rsidRDefault="00C81E61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D5EBDB" w14:textId="77777777" w:rsid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F94">
        <w:rPr>
          <w:rFonts w:ascii="Arial" w:hAnsi="Arial" w:cs="Arial"/>
          <w:color w:val="000000" w:themeColor="text1"/>
          <w:sz w:val="24"/>
          <w:szCs w:val="24"/>
        </w:rPr>
        <w:t>T0</w:t>
      </w:r>
      <w:r w:rsidR="00E22CA0">
        <w:rPr>
          <w:rFonts w:ascii="Arial" w:hAnsi="Arial" w:cs="Arial"/>
          <w:color w:val="000000" w:themeColor="text1"/>
          <w:sz w:val="24"/>
          <w:szCs w:val="24"/>
        </w:rPr>
        <w:t>8</w:t>
      </w:r>
      <w:r w:rsidR="006D1C2A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835F94">
        <w:rPr>
          <w:rFonts w:ascii="Arial" w:hAnsi="Arial" w:cs="Arial"/>
          <w:color w:val="000000" w:themeColor="text1"/>
          <w:sz w:val="24"/>
          <w:szCs w:val="24"/>
        </w:rPr>
        <w:t>Providenciar publicação</w:t>
      </w:r>
    </w:p>
    <w:p w14:paraId="7CC62345" w14:textId="77777777" w:rsidR="00E22CA0" w:rsidRDefault="00E22CA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4411DD" w14:textId="77777777" w:rsidR="00E22CA0" w:rsidRPr="00835F94" w:rsidRDefault="00E22CA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Trata-se do resumo do ato ou termo de que</w:t>
      </w:r>
      <w:r w:rsidR="00BE4605">
        <w:rPr>
          <w:rFonts w:ascii="Arial" w:hAnsi="Arial" w:cs="Arial"/>
          <w:color w:val="000000" w:themeColor="text1"/>
          <w:sz w:val="24"/>
          <w:szCs w:val="24"/>
        </w:rPr>
        <w:t xml:space="preserve"> trata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T04.</w:t>
      </w:r>
    </w:p>
    <w:p w14:paraId="466E389B" w14:textId="77777777" w:rsidR="00835F94" w:rsidRPr="00835F94" w:rsidRDefault="00835F94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7E6CAD" w14:textId="77777777" w:rsidR="00835F94" w:rsidRDefault="00E22CA0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T09</w:t>
      </w:r>
      <w:r w:rsidR="006D1C2A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835F94" w:rsidRPr="00835F94">
        <w:rPr>
          <w:rFonts w:ascii="Arial" w:hAnsi="Arial" w:cs="Arial"/>
          <w:color w:val="000000" w:themeColor="text1"/>
          <w:sz w:val="24"/>
          <w:szCs w:val="24"/>
        </w:rPr>
        <w:t>Instaurar Tomada de Contas</w:t>
      </w:r>
    </w:p>
    <w:p w14:paraId="461BDE92" w14:textId="77777777" w:rsidR="0000296B" w:rsidRDefault="0000296B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3669F2" w14:textId="15DB584A" w:rsidR="003E2A23" w:rsidRDefault="00C81E61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1AD6D5D8" wp14:editId="67BA8CFF">
            <wp:extent cx="5760085" cy="345277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6557"/>
                    <a:stretch/>
                  </pic:blipFill>
                  <pic:spPr bwMode="auto">
                    <a:xfrm>
                      <a:off x="0" y="0"/>
                      <a:ext cx="5760085" cy="3452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B39C3" w14:textId="77777777" w:rsidR="00215C21" w:rsidRPr="00A21B54" w:rsidRDefault="00215C21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33C74E" w14:textId="77777777" w:rsidR="00F110A9" w:rsidRPr="006D7E05" w:rsidRDefault="00F110A9" w:rsidP="00925CE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D7E05">
        <w:rPr>
          <w:rFonts w:ascii="Arial" w:hAnsi="Arial" w:cs="Arial"/>
          <w:b/>
          <w:bCs/>
          <w:color w:val="000000" w:themeColor="text1"/>
          <w:sz w:val="24"/>
          <w:szCs w:val="24"/>
        </w:rPr>
        <w:t>INFORMAÇÕES ADICIONAIS</w:t>
      </w:r>
    </w:p>
    <w:p w14:paraId="5571D087" w14:textId="77777777" w:rsidR="008D450F" w:rsidRDefault="008D450F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59B90B" w14:textId="13D69138" w:rsidR="008D450F" w:rsidRDefault="00BE7E05" w:rsidP="00FA6D53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450F">
        <w:rPr>
          <w:rFonts w:ascii="Arial" w:hAnsi="Arial" w:cs="Arial"/>
          <w:color w:val="000000" w:themeColor="text1"/>
          <w:sz w:val="24"/>
          <w:szCs w:val="24"/>
        </w:rPr>
        <w:t>Todos os atos e procedimentos constantes des</w:t>
      </w:r>
      <w:r w:rsidR="00312C02" w:rsidRPr="008D450F">
        <w:rPr>
          <w:rFonts w:ascii="Arial" w:hAnsi="Arial" w:cs="Arial"/>
          <w:color w:val="000000" w:themeColor="text1"/>
          <w:sz w:val="24"/>
          <w:szCs w:val="24"/>
        </w:rPr>
        <w:t>t</w:t>
      </w:r>
      <w:r w:rsidRPr="008D450F">
        <w:rPr>
          <w:rFonts w:ascii="Arial" w:hAnsi="Arial" w:cs="Arial"/>
          <w:color w:val="000000" w:themeColor="text1"/>
          <w:sz w:val="24"/>
          <w:szCs w:val="24"/>
        </w:rPr>
        <w:t>a norma devem ser realizados no S</w:t>
      </w:r>
      <w:r w:rsidR="00C81E61">
        <w:rPr>
          <w:rFonts w:ascii="Arial" w:hAnsi="Arial" w:cs="Arial"/>
          <w:color w:val="000000" w:themeColor="text1"/>
          <w:sz w:val="24"/>
          <w:szCs w:val="24"/>
        </w:rPr>
        <w:t>iga</w:t>
      </w:r>
      <w:r w:rsidRPr="008D450F">
        <w:rPr>
          <w:rFonts w:ascii="Arial" w:hAnsi="Arial" w:cs="Arial"/>
          <w:color w:val="000000" w:themeColor="text1"/>
          <w:sz w:val="24"/>
          <w:szCs w:val="24"/>
        </w:rPr>
        <w:t>. Os atos que</w:t>
      </w:r>
      <w:r w:rsidR="00BC60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D450F">
        <w:rPr>
          <w:rFonts w:ascii="Arial" w:hAnsi="Arial" w:cs="Arial"/>
          <w:color w:val="000000" w:themeColor="text1"/>
          <w:sz w:val="24"/>
          <w:szCs w:val="24"/>
        </w:rPr>
        <w:t>não possam ser realizados no S</w:t>
      </w:r>
      <w:r w:rsidR="00C81E61">
        <w:rPr>
          <w:rFonts w:ascii="Arial" w:hAnsi="Arial" w:cs="Arial"/>
          <w:color w:val="000000" w:themeColor="text1"/>
          <w:sz w:val="24"/>
          <w:szCs w:val="24"/>
        </w:rPr>
        <w:t>iga</w:t>
      </w:r>
      <w:r w:rsidRPr="008D450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660B7" w:rsidRPr="008D450F">
        <w:rPr>
          <w:rFonts w:ascii="Arial" w:hAnsi="Arial" w:cs="Arial"/>
          <w:color w:val="000000" w:themeColor="text1"/>
          <w:sz w:val="24"/>
          <w:szCs w:val="24"/>
        </w:rPr>
        <w:t xml:space="preserve">deverão ser </w:t>
      </w:r>
      <w:r w:rsidRPr="008D450F">
        <w:rPr>
          <w:rFonts w:ascii="Arial" w:hAnsi="Arial" w:cs="Arial"/>
          <w:color w:val="000000" w:themeColor="text1"/>
          <w:sz w:val="24"/>
          <w:szCs w:val="24"/>
        </w:rPr>
        <w:t>nele registrado</w:t>
      </w:r>
      <w:r w:rsidR="0081200F" w:rsidRPr="008D450F">
        <w:rPr>
          <w:rFonts w:ascii="Arial" w:hAnsi="Arial" w:cs="Arial"/>
          <w:color w:val="000000" w:themeColor="text1"/>
          <w:sz w:val="24"/>
          <w:szCs w:val="24"/>
        </w:rPr>
        <w:t xml:space="preserve">s, utilizando-se da aba </w:t>
      </w:r>
      <w:r w:rsidR="00CE3B96">
        <w:rPr>
          <w:rFonts w:ascii="Arial" w:hAnsi="Arial" w:cs="Arial"/>
          <w:color w:val="000000" w:themeColor="text1"/>
          <w:sz w:val="24"/>
          <w:szCs w:val="24"/>
        </w:rPr>
        <w:t>“</w:t>
      </w:r>
      <w:r w:rsidR="0055724B" w:rsidRPr="008D450F">
        <w:rPr>
          <w:rFonts w:ascii="Arial" w:hAnsi="Arial" w:cs="Arial"/>
          <w:i/>
          <w:color w:val="000000" w:themeColor="text1"/>
          <w:sz w:val="24"/>
          <w:szCs w:val="24"/>
        </w:rPr>
        <w:t>Anexos</w:t>
      </w:r>
      <w:r w:rsidR="00CE3B96"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r w:rsidR="0024785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F1C80FC" w14:textId="77777777" w:rsidR="008D450F" w:rsidRDefault="008D450F" w:rsidP="008D450F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8D20E8" w14:textId="3EBBDE59" w:rsidR="005B1A13" w:rsidRDefault="0007357B" w:rsidP="00DA2A3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450F">
        <w:rPr>
          <w:rFonts w:ascii="Arial" w:hAnsi="Arial" w:cs="Arial"/>
          <w:color w:val="000000" w:themeColor="text1"/>
          <w:sz w:val="24"/>
          <w:szCs w:val="24"/>
        </w:rPr>
        <w:t>O uso do S</w:t>
      </w:r>
      <w:r w:rsidR="00C81E61">
        <w:rPr>
          <w:rFonts w:ascii="Arial" w:hAnsi="Arial" w:cs="Arial"/>
          <w:color w:val="000000" w:themeColor="text1"/>
          <w:sz w:val="24"/>
          <w:szCs w:val="24"/>
        </w:rPr>
        <w:t>iga</w:t>
      </w:r>
      <w:r w:rsidRPr="008D450F">
        <w:rPr>
          <w:rFonts w:ascii="Arial" w:hAnsi="Arial" w:cs="Arial"/>
          <w:color w:val="000000" w:themeColor="text1"/>
          <w:sz w:val="24"/>
          <w:szCs w:val="24"/>
        </w:rPr>
        <w:t xml:space="preserve"> não dispensa a necessidade de montagem do processo, conforme d</w:t>
      </w:r>
      <w:r w:rsidR="00F62730" w:rsidRPr="008D450F">
        <w:rPr>
          <w:rFonts w:ascii="Arial" w:hAnsi="Arial" w:cs="Arial"/>
          <w:color w:val="000000" w:themeColor="text1"/>
          <w:sz w:val="24"/>
          <w:szCs w:val="24"/>
        </w:rPr>
        <w:t>ispõe o</w:t>
      </w:r>
      <w:r w:rsidR="00BE7E05" w:rsidRPr="008D450F">
        <w:rPr>
          <w:rFonts w:ascii="Arial" w:hAnsi="Arial" w:cs="Arial"/>
          <w:color w:val="000000" w:themeColor="text1"/>
          <w:sz w:val="24"/>
          <w:szCs w:val="24"/>
        </w:rPr>
        <w:t xml:space="preserve"> Decreto nº 2.340</w:t>
      </w:r>
      <w:r w:rsidRPr="008D450F">
        <w:rPr>
          <w:rFonts w:ascii="Arial" w:hAnsi="Arial" w:cs="Arial"/>
          <w:color w:val="000000" w:themeColor="text1"/>
          <w:sz w:val="24"/>
          <w:szCs w:val="24"/>
        </w:rPr>
        <w:t xml:space="preserve">-R, de </w:t>
      </w:r>
      <w:r w:rsidR="00CC50D6" w:rsidRPr="008D450F">
        <w:rPr>
          <w:rFonts w:ascii="Arial" w:hAnsi="Arial" w:cs="Arial"/>
          <w:color w:val="000000" w:themeColor="text1"/>
          <w:sz w:val="24"/>
          <w:szCs w:val="24"/>
        </w:rPr>
        <w:t>26/08</w:t>
      </w:r>
      <w:r w:rsidR="00BE7E05" w:rsidRPr="008D450F">
        <w:rPr>
          <w:rFonts w:ascii="Arial" w:hAnsi="Arial" w:cs="Arial"/>
          <w:color w:val="000000" w:themeColor="text1"/>
          <w:sz w:val="24"/>
          <w:szCs w:val="24"/>
        </w:rPr>
        <w:t>/2009</w:t>
      </w:r>
      <w:r w:rsidR="00C81E6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344A90" w14:textId="77777777" w:rsidR="00DA2A3C" w:rsidRPr="00DA2A3C" w:rsidRDefault="00DA2A3C" w:rsidP="00DA2A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0A15C2" w14:textId="77777777" w:rsidR="00F110A9" w:rsidRPr="006D7E05" w:rsidRDefault="003D76BC" w:rsidP="00925CE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D7E05">
        <w:rPr>
          <w:rFonts w:ascii="Arial" w:hAnsi="Arial" w:cs="Arial"/>
          <w:b/>
          <w:bCs/>
          <w:sz w:val="24"/>
          <w:szCs w:val="24"/>
        </w:rPr>
        <w:t>A</w:t>
      </w:r>
      <w:r w:rsidR="00F110A9" w:rsidRPr="006D7E05">
        <w:rPr>
          <w:rFonts w:ascii="Arial" w:hAnsi="Arial" w:cs="Arial"/>
          <w:b/>
          <w:bCs/>
          <w:sz w:val="24"/>
          <w:szCs w:val="24"/>
        </w:rPr>
        <w:t>NEXOS</w:t>
      </w:r>
    </w:p>
    <w:p w14:paraId="62F17676" w14:textId="77777777" w:rsidR="008D450F" w:rsidRDefault="008D450F" w:rsidP="00FA6D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5A758A" w14:textId="77777777" w:rsidR="00CD7E44" w:rsidRDefault="00547080" w:rsidP="003D76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aplicável.</w:t>
      </w:r>
    </w:p>
    <w:p w14:paraId="139399D2" w14:textId="77777777" w:rsidR="00247850" w:rsidRDefault="00247850" w:rsidP="003D76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23B856" w14:textId="77777777" w:rsidR="008D450F" w:rsidRDefault="00F110A9" w:rsidP="008D450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6D7E05">
        <w:rPr>
          <w:rFonts w:ascii="Arial" w:hAnsi="Arial" w:cs="Arial"/>
          <w:b/>
          <w:bCs/>
          <w:sz w:val="24"/>
          <w:szCs w:val="24"/>
        </w:rPr>
        <w:t>ASSINATURAS</w:t>
      </w:r>
    </w:p>
    <w:p w14:paraId="1C63AD5C" w14:textId="77777777" w:rsidR="001A0744" w:rsidRDefault="001A0744" w:rsidP="001A0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A0744" w:rsidRPr="007E59B7" w14:paraId="59DE1FF0" w14:textId="77777777" w:rsidTr="00B96758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E6E66" w14:textId="77777777" w:rsidR="001A0744" w:rsidRPr="007E59B7" w:rsidRDefault="001A0744" w:rsidP="00B9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EQUIPE DE ELABORAÇÃO:</w:t>
            </w:r>
          </w:p>
        </w:tc>
      </w:tr>
      <w:tr w:rsidR="00247850" w:rsidRPr="007E59B7" w14:paraId="721861F6" w14:textId="77777777" w:rsidTr="00247850">
        <w:trPr>
          <w:trHeight w:val="1170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5DDD" w14:textId="77777777" w:rsidR="00247850" w:rsidRDefault="00247850" w:rsidP="0024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Walter Rocha Sarmento Junior</w:t>
            </w:r>
          </w:p>
          <w:p w14:paraId="5073BE37" w14:textId="3EA1FA75" w:rsidR="00247850" w:rsidRPr="00247850" w:rsidRDefault="00247850" w:rsidP="0024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Gestão de Contratos e Convênios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26F49" w14:textId="77777777" w:rsidR="00247850" w:rsidRDefault="00247850" w:rsidP="0024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Débora Maria do Carmo</w:t>
            </w:r>
          </w:p>
          <w:p w14:paraId="2CB3B728" w14:textId="77777777" w:rsidR="00247850" w:rsidRDefault="00247850" w:rsidP="0024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Convênios</w:t>
            </w:r>
          </w:p>
          <w:p w14:paraId="03551522" w14:textId="67124174" w:rsidR="00247850" w:rsidRPr="007E59B7" w:rsidRDefault="00247850" w:rsidP="0024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47850" w:rsidRPr="007E59B7" w14:paraId="0BC51695" w14:textId="77777777" w:rsidTr="00247850">
        <w:trPr>
          <w:trHeight w:val="369"/>
        </w:trPr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11AFC" w14:textId="3BBC1841" w:rsidR="00247850" w:rsidRPr="007E59B7" w:rsidRDefault="00F214C4" w:rsidP="00F21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Elaborada</w:t>
            </w:r>
            <w:r w:rsidR="00247850" w:rsidRPr="007E59B7">
              <w:rPr>
                <w:rFonts w:ascii="Arial" w:hAnsi="Arial" w:cs="Arial"/>
                <w:bCs/>
                <w:sz w:val="24"/>
                <w:szCs w:val="24"/>
              </w:rPr>
              <w:t xml:space="preserve"> em</w:t>
            </w:r>
            <w:r w:rsidR="002478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16</w:t>
            </w:r>
            <w:r w:rsidR="00247850" w:rsidRPr="004815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/12</w:t>
            </w:r>
            <w:r w:rsidR="00247850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</w:tr>
      <w:tr w:rsidR="001A0744" w:rsidRPr="007E59B7" w14:paraId="542E6E1B" w14:textId="77777777" w:rsidTr="00B96758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00E39" w14:textId="77777777" w:rsidR="001A0744" w:rsidRPr="007E59B7" w:rsidRDefault="001A0744" w:rsidP="00B96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59B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1A0744" w:rsidRPr="007E59B7" w14:paraId="7A10B41D" w14:textId="77777777" w:rsidTr="00247850">
        <w:trPr>
          <w:trHeight w:val="145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76F2" w14:textId="77777777" w:rsidR="001A0744" w:rsidRDefault="001A0744" w:rsidP="002478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8C907BD" w14:textId="77777777" w:rsidR="001A0744" w:rsidRPr="007E59B7" w:rsidRDefault="001A0744" w:rsidP="00B96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1F674DA8" w14:textId="105BCC27" w:rsidR="001A0744" w:rsidRPr="007E59B7" w:rsidRDefault="001A0744" w:rsidP="0024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</w:t>
            </w:r>
            <w:r w:rsidRPr="007E59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</w:t>
            </w:r>
            <w:r w:rsidR="002478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 de Gestão e Recursos Humanos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AF408" w14:textId="496D20B8" w:rsidR="001A0744" w:rsidRPr="007E59B7" w:rsidRDefault="00247850" w:rsidP="0024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 na data da assinatura</w:t>
            </w:r>
          </w:p>
        </w:tc>
      </w:tr>
    </w:tbl>
    <w:p w14:paraId="73B17314" w14:textId="77777777" w:rsidR="003D76BC" w:rsidRPr="00F23774" w:rsidRDefault="003D76BC" w:rsidP="00A01650">
      <w:pPr>
        <w:rPr>
          <w:rFonts w:ascii="Arial" w:hAnsi="Arial" w:cs="Arial"/>
          <w:sz w:val="24"/>
          <w:szCs w:val="24"/>
        </w:rPr>
      </w:pPr>
    </w:p>
    <w:sectPr w:rsidR="003D76BC" w:rsidRPr="00F23774" w:rsidSect="00B57E6C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6876E" w14:textId="77777777" w:rsidR="00E11FF3" w:rsidRDefault="00E11FF3" w:rsidP="00B57E6C">
      <w:pPr>
        <w:spacing w:after="0" w:line="240" w:lineRule="auto"/>
      </w:pPr>
      <w:r>
        <w:separator/>
      </w:r>
    </w:p>
  </w:endnote>
  <w:endnote w:type="continuationSeparator" w:id="0">
    <w:p w14:paraId="4E085133" w14:textId="77777777" w:rsidR="00E11FF3" w:rsidRDefault="00E11FF3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401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876285" w14:textId="77777777" w:rsidR="00E11FF3" w:rsidRDefault="00E11FF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452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DB6647" w14:textId="77777777" w:rsidR="00E11FF3" w:rsidRDefault="00E11F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5C4BE" w14:textId="77777777" w:rsidR="00E11FF3" w:rsidRDefault="00E11FF3" w:rsidP="00B57E6C">
      <w:pPr>
        <w:spacing w:after="0" w:line="240" w:lineRule="auto"/>
      </w:pPr>
      <w:r>
        <w:separator/>
      </w:r>
    </w:p>
  </w:footnote>
  <w:footnote w:type="continuationSeparator" w:id="0">
    <w:p w14:paraId="630C1A39" w14:textId="77777777" w:rsidR="00E11FF3" w:rsidRDefault="00E11FF3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DAA5E" w14:textId="77777777" w:rsidR="00E11FF3" w:rsidRPr="005648F2" w:rsidRDefault="00E11FF3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70F7550" wp14:editId="57146F0E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654DBF9F" w14:textId="77777777" w:rsidR="00E11FF3" w:rsidRPr="005648F2" w:rsidRDefault="00E11FF3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72BD310B" w14:textId="77777777" w:rsidR="00E11FF3" w:rsidRDefault="00E11FF3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37E32"/>
    <w:multiLevelType w:val="hybridMultilevel"/>
    <w:tmpl w:val="5086A4AE"/>
    <w:lvl w:ilvl="0" w:tplc="0EDA40F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01E8"/>
    <w:multiLevelType w:val="hybridMultilevel"/>
    <w:tmpl w:val="C0006EBC"/>
    <w:lvl w:ilvl="0" w:tplc="A210DE6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6F8A"/>
    <w:multiLevelType w:val="hybridMultilevel"/>
    <w:tmpl w:val="41F855DA"/>
    <w:lvl w:ilvl="0" w:tplc="2BF81A5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749E"/>
    <w:multiLevelType w:val="hybridMultilevel"/>
    <w:tmpl w:val="EFDEC032"/>
    <w:lvl w:ilvl="0" w:tplc="5A9804B4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B68B7"/>
    <w:multiLevelType w:val="hybridMultilevel"/>
    <w:tmpl w:val="E38AC7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F57DD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A9F2AE1"/>
    <w:multiLevelType w:val="hybridMultilevel"/>
    <w:tmpl w:val="8DF2E1EA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C7824"/>
    <w:multiLevelType w:val="hybridMultilevel"/>
    <w:tmpl w:val="9F0E70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13695"/>
    <w:multiLevelType w:val="hybridMultilevel"/>
    <w:tmpl w:val="CD6EAA20"/>
    <w:lvl w:ilvl="0" w:tplc="0EDA40F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558E1"/>
    <w:multiLevelType w:val="multilevel"/>
    <w:tmpl w:val="D38C5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613500"/>
    <w:multiLevelType w:val="multilevel"/>
    <w:tmpl w:val="DF8A4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>
    <w:nsid w:val="5D431248"/>
    <w:multiLevelType w:val="hybridMultilevel"/>
    <w:tmpl w:val="EFDEB82C"/>
    <w:lvl w:ilvl="0" w:tplc="0500277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2522"/>
    <w:multiLevelType w:val="multilevel"/>
    <w:tmpl w:val="5F64D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6BAF58D1"/>
    <w:multiLevelType w:val="hybridMultilevel"/>
    <w:tmpl w:val="32EAB6B0"/>
    <w:lvl w:ilvl="0" w:tplc="2CF2A05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307D7"/>
    <w:multiLevelType w:val="hybridMultilevel"/>
    <w:tmpl w:val="ECC62F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5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0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0A9"/>
    <w:rsid w:val="00000022"/>
    <w:rsid w:val="0000296B"/>
    <w:rsid w:val="00002BF0"/>
    <w:rsid w:val="000060A6"/>
    <w:rsid w:val="00006E54"/>
    <w:rsid w:val="00007389"/>
    <w:rsid w:val="00010A91"/>
    <w:rsid w:val="00012EA7"/>
    <w:rsid w:val="00014051"/>
    <w:rsid w:val="0001483F"/>
    <w:rsid w:val="00014935"/>
    <w:rsid w:val="00015F9A"/>
    <w:rsid w:val="00025BC2"/>
    <w:rsid w:val="0003209F"/>
    <w:rsid w:val="0003298F"/>
    <w:rsid w:val="00034516"/>
    <w:rsid w:val="000451EC"/>
    <w:rsid w:val="00046672"/>
    <w:rsid w:val="00046B3D"/>
    <w:rsid w:val="00050927"/>
    <w:rsid w:val="000516FC"/>
    <w:rsid w:val="000518EF"/>
    <w:rsid w:val="00053471"/>
    <w:rsid w:val="00057BC3"/>
    <w:rsid w:val="000607A2"/>
    <w:rsid w:val="0006259F"/>
    <w:rsid w:val="000626A6"/>
    <w:rsid w:val="000647A7"/>
    <w:rsid w:val="0007357B"/>
    <w:rsid w:val="0007480F"/>
    <w:rsid w:val="00076429"/>
    <w:rsid w:val="000777E0"/>
    <w:rsid w:val="00081FC0"/>
    <w:rsid w:val="00085222"/>
    <w:rsid w:val="0008700A"/>
    <w:rsid w:val="00087477"/>
    <w:rsid w:val="000917A4"/>
    <w:rsid w:val="00091C15"/>
    <w:rsid w:val="00091E30"/>
    <w:rsid w:val="00096AEF"/>
    <w:rsid w:val="00096E48"/>
    <w:rsid w:val="00097A28"/>
    <w:rsid w:val="000A0530"/>
    <w:rsid w:val="000A452D"/>
    <w:rsid w:val="000A50FE"/>
    <w:rsid w:val="000A5643"/>
    <w:rsid w:val="000A59D9"/>
    <w:rsid w:val="000A5B9F"/>
    <w:rsid w:val="000B0001"/>
    <w:rsid w:val="000B0211"/>
    <w:rsid w:val="000B0386"/>
    <w:rsid w:val="000B16E5"/>
    <w:rsid w:val="000B322A"/>
    <w:rsid w:val="000B4602"/>
    <w:rsid w:val="000B47DB"/>
    <w:rsid w:val="000B50A0"/>
    <w:rsid w:val="000B65CD"/>
    <w:rsid w:val="000C19CB"/>
    <w:rsid w:val="000C3700"/>
    <w:rsid w:val="000C6AEF"/>
    <w:rsid w:val="000D0585"/>
    <w:rsid w:val="000D1717"/>
    <w:rsid w:val="000D4B3B"/>
    <w:rsid w:val="000D68E6"/>
    <w:rsid w:val="000E1C32"/>
    <w:rsid w:val="000E392C"/>
    <w:rsid w:val="000E3D82"/>
    <w:rsid w:val="000E659E"/>
    <w:rsid w:val="000E6CC6"/>
    <w:rsid w:val="000E7665"/>
    <w:rsid w:val="000F0E61"/>
    <w:rsid w:val="000F1AED"/>
    <w:rsid w:val="000F2971"/>
    <w:rsid w:val="000F2E2F"/>
    <w:rsid w:val="00100D62"/>
    <w:rsid w:val="0010141F"/>
    <w:rsid w:val="00101C29"/>
    <w:rsid w:val="00101DA8"/>
    <w:rsid w:val="00102B04"/>
    <w:rsid w:val="00104139"/>
    <w:rsid w:val="00113B13"/>
    <w:rsid w:val="0011727A"/>
    <w:rsid w:val="00117B57"/>
    <w:rsid w:val="00117EEA"/>
    <w:rsid w:val="00123E37"/>
    <w:rsid w:val="001247A2"/>
    <w:rsid w:val="001270A0"/>
    <w:rsid w:val="00130619"/>
    <w:rsid w:val="00130633"/>
    <w:rsid w:val="00131434"/>
    <w:rsid w:val="001336DE"/>
    <w:rsid w:val="00134EE0"/>
    <w:rsid w:val="00143D77"/>
    <w:rsid w:val="00150EB7"/>
    <w:rsid w:val="00151947"/>
    <w:rsid w:val="00153D83"/>
    <w:rsid w:val="00154510"/>
    <w:rsid w:val="00154848"/>
    <w:rsid w:val="00156C1C"/>
    <w:rsid w:val="001576C6"/>
    <w:rsid w:val="00160FC6"/>
    <w:rsid w:val="00163EA8"/>
    <w:rsid w:val="001659E3"/>
    <w:rsid w:val="00170ECA"/>
    <w:rsid w:val="00172C79"/>
    <w:rsid w:val="00173FC5"/>
    <w:rsid w:val="001765E0"/>
    <w:rsid w:val="00181108"/>
    <w:rsid w:val="00184801"/>
    <w:rsid w:val="00186C1D"/>
    <w:rsid w:val="0019009A"/>
    <w:rsid w:val="001A0744"/>
    <w:rsid w:val="001A1049"/>
    <w:rsid w:val="001A1AA0"/>
    <w:rsid w:val="001B12D0"/>
    <w:rsid w:val="001B3E4E"/>
    <w:rsid w:val="001B4BFC"/>
    <w:rsid w:val="001C228E"/>
    <w:rsid w:val="001C365D"/>
    <w:rsid w:val="001C3840"/>
    <w:rsid w:val="001C47D4"/>
    <w:rsid w:val="001C490D"/>
    <w:rsid w:val="001C79D3"/>
    <w:rsid w:val="001D0982"/>
    <w:rsid w:val="001D20CA"/>
    <w:rsid w:val="001D4E24"/>
    <w:rsid w:val="001E1985"/>
    <w:rsid w:val="001E42AE"/>
    <w:rsid w:val="001E4DE8"/>
    <w:rsid w:val="001E5889"/>
    <w:rsid w:val="001E60BF"/>
    <w:rsid w:val="001F0ACC"/>
    <w:rsid w:val="001F5374"/>
    <w:rsid w:val="001F6420"/>
    <w:rsid w:val="001F7889"/>
    <w:rsid w:val="001F7D07"/>
    <w:rsid w:val="00202C86"/>
    <w:rsid w:val="00203F5B"/>
    <w:rsid w:val="00204AB3"/>
    <w:rsid w:val="002145C1"/>
    <w:rsid w:val="00215C21"/>
    <w:rsid w:val="00217772"/>
    <w:rsid w:val="0022173E"/>
    <w:rsid w:val="0022470D"/>
    <w:rsid w:val="00225353"/>
    <w:rsid w:val="002259CC"/>
    <w:rsid w:val="002304B9"/>
    <w:rsid w:val="002306F1"/>
    <w:rsid w:val="00232417"/>
    <w:rsid w:val="00234C91"/>
    <w:rsid w:val="00235059"/>
    <w:rsid w:val="00235E27"/>
    <w:rsid w:val="00245651"/>
    <w:rsid w:val="00246972"/>
    <w:rsid w:val="00247850"/>
    <w:rsid w:val="00251585"/>
    <w:rsid w:val="00251CC1"/>
    <w:rsid w:val="00252DE3"/>
    <w:rsid w:val="00254210"/>
    <w:rsid w:val="00254BF5"/>
    <w:rsid w:val="00255ABF"/>
    <w:rsid w:val="00260FAB"/>
    <w:rsid w:val="002616BE"/>
    <w:rsid w:val="002626C6"/>
    <w:rsid w:val="00262765"/>
    <w:rsid w:val="002646BD"/>
    <w:rsid w:val="00264D57"/>
    <w:rsid w:val="00267349"/>
    <w:rsid w:val="00271857"/>
    <w:rsid w:val="00272DAF"/>
    <w:rsid w:val="00273AD2"/>
    <w:rsid w:val="00273AEA"/>
    <w:rsid w:val="00280F11"/>
    <w:rsid w:val="00281BD5"/>
    <w:rsid w:val="00281C1E"/>
    <w:rsid w:val="00281D6B"/>
    <w:rsid w:val="00282ADD"/>
    <w:rsid w:val="00283308"/>
    <w:rsid w:val="002836D0"/>
    <w:rsid w:val="002840AF"/>
    <w:rsid w:val="00284129"/>
    <w:rsid w:val="00292AAE"/>
    <w:rsid w:val="00292C69"/>
    <w:rsid w:val="00296716"/>
    <w:rsid w:val="00296F27"/>
    <w:rsid w:val="00297B4B"/>
    <w:rsid w:val="00297F47"/>
    <w:rsid w:val="002A2779"/>
    <w:rsid w:val="002A57F1"/>
    <w:rsid w:val="002A5EFB"/>
    <w:rsid w:val="002A65D8"/>
    <w:rsid w:val="002A7A9B"/>
    <w:rsid w:val="002B73E0"/>
    <w:rsid w:val="002C05C3"/>
    <w:rsid w:val="002C0B6C"/>
    <w:rsid w:val="002C23AC"/>
    <w:rsid w:val="002C2681"/>
    <w:rsid w:val="002C4531"/>
    <w:rsid w:val="002C53BE"/>
    <w:rsid w:val="002C6C6D"/>
    <w:rsid w:val="002D09E6"/>
    <w:rsid w:val="002D3A1E"/>
    <w:rsid w:val="002D4C97"/>
    <w:rsid w:val="002D5DC7"/>
    <w:rsid w:val="002E02E4"/>
    <w:rsid w:val="002E0DC6"/>
    <w:rsid w:val="002E1852"/>
    <w:rsid w:val="002E3808"/>
    <w:rsid w:val="002E77C8"/>
    <w:rsid w:val="002F0571"/>
    <w:rsid w:val="002F0E26"/>
    <w:rsid w:val="002F3BB0"/>
    <w:rsid w:val="002F5AD4"/>
    <w:rsid w:val="002F5FF3"/>
    <w:rsid w:val="00301463"/>
    <w:rsid w:val="00302228"/>
    <w:rsid w:val="00303AD7"/>
    <w:rsid w:val="00303FD2"/>
    <w:rsid w:val="00307F45"/>
    <w:rsid w:val="00310859"/>
    <w:rsid w:val="003121C6"/>
    <w:rsid w:val="00312C02"/>
    <w:rsid w:val="003147C4"/>
    <w:rsid w:val="0032037F"/>
    <w:rsid w:val="00321775"/>
    <w:rsid w:val="00322854"/>
    <w:rsid w:val="00322921"/>
    <w:rsid w:val="0032462A"/>
    <w:rsid w:val="003263D7"/>
    <w:rsid w:val="0032718F"/>
    <w:rsid w:val="003309CD"/>
    <w:rsid w:val="00337A75"/>
    <w:rsid w:val="00342FF4"/>
    <w:rsid w:val="00343205"/>
    <w:rsid w:val="00346E34"/>
    <w:rsid w:val="003474AA"/>
    <w:rsid w:val="00347A0D"/>
    <w:rsid w:val="00350089"/>
    <w:rsid w:val="0035023B"/>
    <w:rsid w:val="003512DB"/>
    <w:rsid w:val="00351C57"/>
    <w:rsid w:val="003533BD"/>
    <w:rsid w:val="0035623B"/>
    <w:rsid w:val="0036029D"/>
    <w:rsid w:val="0036479F"/>
    <w:rsid w:val="00366599"/>
    <w:rsid w:val="00366E63"/>
    <w:rsid w:val="00370456"/>
    <w:rsid w:val="0037277C"/>
    <w:rsid w:val="00372916"/>
    <w:rsid w:val="00374D66"/>
    <w:rsid w:val="00374E64"/>
    <w:rsid w:val="0038246E"/>
    <w:rsid w:val="003843F9"/>
    <w:rsid w:val="003860FF"/>
    <w:rsid w:val="003861C1"/>
    <w:rsid w:val="003873A3"/>
    <w:rsid w:val="003916CD"/>
    <w:rsid w:val="00391F81"/>
    <w:rsid w:val="00393341"/>
    <w:rsid w:val="00397A42"/>
    <w:rsid w:val="003A46C3"/>
    <w:rsid w:val="003A5316"/>
    <w:rsid w:val="003A64DC"/>
    <w:rsid w:val="003A67E4"/>
    <w:rsid w:val="003A752C"/>
    <w:rsid w:val="003B4F66"/>
    <w:rsid w:val="003B50C3"/>
    <w:rsid w:val="003B61F9"/>
    <w:rsid w:val="003C2B2F"/>
    <w:rsid w:val="003C485B"/>
    <w:rsid w:val="003C5FC3"/>
    <w:rsid w:val="003C7978"/>
    <w:rsid w:val="003D2B6D"/>
    <w:rsid w:val="003D31E9"/>
    <w:rsid w:val="003D325D"/>
    <w:rsid w:val="003D34C5"/>
    <w:rsid w:val="003D3ACF"/>
    <w:rsid w:val="003D5661"/>
    <w:rsid w:val="003D59BE"/>
    <w:rsid w:val="003D76BC"/>
    <w:rsid w:val="003E26EE"/>
    <w:rsid w:val="003E2A23"/>
    <w:rsid w:val="003E4998"/>
    <w:rsid w:val="003E5F77"/>
    <w:rsid w:val="003E74C6"/>
    <w:rsid w:val="003E7677"/>
    <w:rsid w:val="003F5EDB"/>
    <w:rsid w:val="003F6CEA"/>
    <w:rsid w:val="00403FB7"/>
    <w:rsid w:val="00404DCF"/>
    <w:rsid w:val="00407467"/>
    <w:rsid w:val="0041144D"/>
    <w:rsid w:val="004126AD"/>
    <w:rsid w:val="00415973"/>
    <w:rsid w:val="00420241"/>
    <w:rsid w:val="0042068B"/>
    <w:rsid w:val="00420831"/>
    <w:rsid w:val="00423102"/>
    <w:rsid w:val="00425A19"/>
    <w:rsid w:val="00425C78"/>
    <w:rsid w:val="0043169A"/>
    <w:rsid w:val="004345A0"/>
    <w:rsid w:val="004417B1"/>
    <w:rsid w:val="00442909"/>
    <w:rsid w:val="00447C2D"/>
    <w:rsid w:val="004537D2"/>
    <w:rsid w:val="00454324"/>
    <w:rsid w:val="004550AB"/>
    <w:rsid w:val="00455F10"/>
    <w:rsid w:val="0046686E"/>
    <w:rsid w:val="004711DB"/>
    <w:rsid w:val="004714AC"/>
    <w:rsid w:val="0047607B"/>
    <w:rsid w:val="00481519"/>
    <w:rsid w:val="00482C95"/>
    <w:rsid w:val="00483008"/>
    <w:rsid w:val="00483110"/>
    <w:rsid w:val="004839BB"/>
    <w:rsid w:val="00484E5D"/>
    <w:rsid w:val="00490407"/>
    <w:rsid w:val="00491548"/>
    <w:rsid w:val="00494CAF"/>
    <w:rsid w:val="00496759"/>
    <w:rsid w:val="00497924"/>
    <w:rsid w:val="004A08A6"/>
    <w:rsid w:val="004A36A5"/>
    <w:rsid w:val="004A3A88"/>
    <w:rsid w:val="004B59D4"/>
    <w:rsid w:val="004B6DF8"/>
    <w:rsid w:val="004C2715"/>
    <w:rsid w:val="004C514C"/>
    <w:rsid w:val="004C6D47"/>
    <w:rsid w:val="004D0DEB"/>
    <w:rsid w:val="004D562B"/>
    <w:rsid w:val="004D57BB"/>
    <w:rsid w:val="004D5A7A"/>
    <w:rsid w:val="004D6673"/>
    <w:rsid w:val="004D6842"/>
    <w:rsid w:val="004E0C8C"/>
    <w:rsid w:val="004E2BF0"/>
    <w:rsid w:val="004E3A58"/>
    <w:rsid w:val="004E4921"/>
    <w:rsid w:val="004E732B"/>
    <w:rsid w:val="004F1099"/>
    <w:rsid w:val="004F1DD3"/>
    <w:rsid w:val="004F3DC6"/>
    <w:rsid w:val="004F5C97"/>
    <w:rsid w:val="004F70BF"/>
    <w:rsid w:val="00506344"/>
    <w:rsid w:val="0051172A"/>
    <w:rsid w:val="005118DA"/>
    <w:rsid w:val="00511B48"/>
    <w:rsid w:val="00512342"/>
    <w:rsid w:val="005175B5"/>
    <w:rsid w:val="0051790F"/>
    <w:rsid w:val="00525A10"/>
    <w:rsid w:val="005264DC"/>
    <w:rsid w:val="00526B26"/>
    <w:rsid w:val="005322FB"/>
    <w:rsid w:val="00536EE6"/>
    <w:rsid w:val="00542527"/>
    <w:rsid w:val="00542935"/>
    <w:rsid w:val="005445FE"/>
    <w:rsid w:val="00545CD7"/>
    <w:rsid w:val="00547080"/>
    <w:rsid w:val="00552631"/>
    <w:rsid w:val="00555F68"/>
    <w:rsid w:val="0055724B"/>
    <w:rsid w:val="00557CAB"/>
    <w:rsid w:val="00557DF4"/>
    <w:rsid w:val="005636C2"/>
    <w:rsid w:val="0056397F"/>
    <w:rsid w:val="0056443D"/>
    <w:rsid w:val="005648F2"/>
    <w:rsid w:val="0056678E"/>
    <w:rsid w:val="005679A3"/>
    <w:rsid w:val="00567A2A"/>
    <w:rsid w:val="005703EC"/>
    <w:rsid w:val="005704F7"/>
    <w:rsid w:val="0057636C"/>
    <w:rsid w:val="00576F5C"/>
    <w:rsid w:val="005776DB"/>
    <w:rsid w:val="0058176D"/>
    <w:rsid w:val="00583827"/>
    <w:rsid w:val="00583A04"/>
    <w:rsid w:val="00585C9A"/>
    <w:rsid w:val="00587A33"/>
    <w:rsid w:val="0059064D"/>
    <w:rsid w:val="0059322B"/>
    <w:rsid w:val="0059329D"/>
    <w:rsid w:val="00593FD8"/>
    <w:rsid w:val="005977D1"/>
    <w:rsid w:val="005A3244"/>
    <w:rsid w:val="005A6A92"/>
    <w:rsid w:val="005A6F77"/>
    <w:rsid w:val="005B0F01"/>
    <w:rsid w:val="005B1A13"/>
    <w:rsid w:val="005B1EAB"/>
    <w:rsid w:val="005B4AC2"/>
    <w:rsid w:val="005B6D62"/>
    <w:rsid w:val="005C10C1"/>
    <w:rsid w:val="005C3693"/>
    <w:rsid w:val="005C476F"/>
    <w:rsid w:val="005C76DA"/>
    <w:rsid w:val="005D0F3F"/>
    <w:rsid w:val="005D1C21"/>
    <w:rsid w:val="005D3324"/>
    <w:rsid w:val="005D5017"/>
    <w:rsid w:val="005D5656"/>
    <w:rsid w:val="005D76C8"/>
    <w:rsid w:val="005E1412"/>
    <w:rsid w:val="005E413A"/>
    <w:rsid w:val="005F09E1"/>
    <w:rsid w:val="005F482F"/>
    <w:rsid w:val="00603F55"/>
    <w:rsid w:val="00603FE4"/>
    <w:rsid w:val="0060456B"/>
    <w:rsid w:val="006049AC"/>
    <w:rsid w:val="006116D2"/>
    <w:rsid w:val="00612442"/>
    <w:rsid w:val="00616931"/>
    <w:rsid w:val="006205BB"/>
    <w:rsid w:val="0062226F"/>
    <w:rsid w:val="006223C4"/>
    <w:rsid w:val="00622770"/>
    <w:rsid w:val="00623423"/>
    <w:rsid w:val="00625C2F"/>
    <w:rsid w:val="00627B0D"/>
    <w:rsid w:val="00630F92"/>
    <w:rsid w:val="006336EF"/>
    <w:rsid w:val="006349B3"/>
    <w:rsid w:val="00636BF4"/>
    <w:rsid w:val="006416B8"/>
    <w:rsid w:val="00642918"/>
    <w:rsid w:val="006467AE"/>
    <w:rsid w:val="00647A2F"/>
    <w:rsid w:val="0065254B"/>
    <w:rsid w:val="00652707"/>
    <w:rsid w:val="00655264"/>
    <w:rsid w:val="006568C5"/>
    <w:rsid w:val="00660B5F"/>
    <w:rsid w:val="006631AA"/>
    <w:rsid w:val="006638AB"/>
    <w:rsid w:val="00664FF4"/>
    <w:rsid w:val="00667F6A"/>
    <w:rsid w:val="006707C2"/>
    <w:rsid w:val="006778CF"/>
    <w:rsid w:val="00682701"/>
    <w:rsid w:val="00682C7D"/>
    <w:rsid w:val="00684B79"/>
    <w:rsid w:val="006857D8"/>
    <w:rsid w:val="00685D67"/>
    <w:rsid w:val="006862B5"/>
    <w:rsid w:val="00686CF1"/>
    <w:rsid w:val="00691476"/>
    <w:rsid w:val="0069205A"/>
    <w:rsid w:val="00693D5F"/>
    <w:rsid w:val="006942D3"/>
    <w:rsid w:val="00694384"/>
    <w:rsid w:val="00694393"/>
    <w:rsid w:val="006946FF"/>
    <w:rsid w:val="00695952"/>
    <w:rsid w:val="00695C21"/>
    <w:rsid w:val="0069613C"/>
    <w:rsid w:val="006A0723"/>
    <w:rsid w:val="006A0AAD"/>
    <w:rsid w:val="006A1812"/>
    <w:rsid w:val="006A546A"/>
    <w:rsid w:val="006A5666"/>
    <w:rsid w:val="006A5D61"/>
    <w:rsid w:val="006B1833"/>
    <w:rsid w:val="006B1FD4"/>
    <w:rsid w:val="006B4071"/>
    <w:rsid w:val="006B44A4"/>
    <w:rsid w:val="006B6FE8"/>
    <w:rsid w:val="006C3014"/>
    <w:rsid w:val="006C4447"/>
    <w:rsid w:val="006C5B33"/>
    <w:rsid w:val="006C608D"/>
    <w:rsid w:val="006C6222"/>
    <w:rsid w:val="006C6E4E"/>
    <w:rsid w:val="006D1C2A"/>
    <w:rsid w:val="006D31D0"/>
    <w:rsid w:val="006D696D"/>
    <w:rsid w:val="006D7E05"/>
    <w:rsid w:val="006D7F39"/>
    <w:rsid w:val="006E07C7"/>
    <w:rsid w:val="006E07E4"/>
    <w:rsid w:val="006E29C9"/>
    <w:rsid w:val="006E35EB"/>
    <w:rsid w:val="006E3F5A"/>
    <w:rsid w:val="006E52F2"/>
    <w:rsid w:val="006E7C0E"/>
    <w:rsid w:val="006E7D03"/>
    <w:rsid w:val="006F25BD"/>
    <w:rsid w:val="006F2610"/>
    <w:rsid w:val="006F2913"/>
    <w:rsid w:val="006F3364"/>
    <w:rsid w:val="006F539C"/>
    <w:rsid w:val="006F7FB3"/>
    <w:rsid w:val="007009BD"/>
    <w:rsid w:val="007057C0"/>
    <w:rsid w:val="00711CAE"/>
    <w:rsid w:val="00711E92"/>
    <w:rsid w:val="00712AE8"/>
    <w:rsid w:val="00712C1E"/>
    <w:rsid w:val="007130FD"/>
    <w:rsid w:val="007134BB"/>
    <w:rsid w:val="007153D7"/>
    <w:rsid w:val="00715F33"/>
    <w:rsid w:val="00717B94"/>
    <w:rsid w:val="007207FE"/>
    <w:rsid w:val="00721BA8"/>
    <w:rsid w:val="007225F4"/>
    <w:rsid w:val="00736BDF"/>
    <w:rsid w:val="00737567"/>
    <w:rsid w:val="0074220A"/>
    <w:rsid w:val="007434E1"/>
    <w:rsid w:val="0074509E"/>
    <w:rsid w:val="00745968"/>
    <w:rsid w:val="00745C94"/>
    <w:rsid w:val="007464C7"/>
    <w:rsid w:val="00746691"/>
    <w:rsid w:val="00746A7F"/>
    <w:rsid w:val="00746D30"/>
    <w:rsid w:val="00746E82"/>
    <w:rsid w:val="00752441"/>
    <w:rsid w:val="007533D6"/>
    <w:rsid w:val="00756E76"/>
    <w:rsid w:val="00757D86"/>
    <w:rsid w:val="00760128"/>
    <w:rsid w:val="00761130"/>
    <w:rsid w:val="00765069"/>
    <w:rsid w:val="007669D9"/>
    <w:rsid w:val="00767E6F"/>
    <w:rsid w:val="0077414A"/>
    <w:rsid w:val="00774990"/>
    <w:rsid w:val="00774BE5"/>
    <w:rsid w:val="00776693"/>
    <w:rsid w:val="00780086"/>
    <w:rsid w:val="00780E3A"/>
    <w:rsid w:val="00783622"/>
    <w:rsid w:val="007841AE"/>
    <w:rsid w:val="00786972"/>
    <w:rsid w:val="007876C2"/>
    <w:rsid w:val="00791656"/>
    <w:rsid w:val="0079415E"/>
    <w:rsid w:val="00796D10"/>
    <w:rsid w:val="007A1D5B"/>
    <w:rsid w:val="007A2B8A"/>
    <w:rsid w:val="007A45A8"/>
    <w:rsid w:val="007A528D"/>
    <w:rsid w:val="007A66A5"/>
    <w:rsid w:val="007A7C1F"/>
    <w:rsid w:val="007B1F4D"/>
    <w:rsid w:val="007B23F2"/>
    <w:rsid w:val="007B36BC"/>
    <w:rsid w:val="007B382C"/>
    <w:rsid w:val="007B4209"/>
    <w:rsid w:val="007B73FC"/>
    <w:rsid w:val="007C03C9"/>
    <w:rsid w:val="007C0475"/>
    <w:rsid w:val="007C1D61"/>
    <w:rsid w:val="007C1ED9"/>
    <w:rsid w:val="007C3994"/>
    <w:rsid w:val="007C3CCA"/>
    <w:rsid w:val="007C6D38"/>
    <w:rsid w:val="007D0766"/>
    <w:rsid w:val="007D520A"/>
    <w:rsid w:val="007D63AD"/>
    <w:rsid w:val="007D7897"/>
    <w:rsid w:val="007E1430"/>
    <w:rsid w:val="007E1BC5"/>
    <w:rsid w:val="007E1CB1"/>
    <w:rsid w:val="007E232C"/>
    <w:rsid w:val="007E2F48"/>
    <w:rsid w:val="007E421B"/>
    <w:rsid w:val="007E43E8"/>
    <w:rsid w:val="007E45EF"/>
    <w:rsid w:val="007E61B1"/>
    <w:rsid w:val="007F09E2"/>
    <w:rsid w:val="007F5F2A"/>
    <w:rsid w:val="007F6665"/>
    <w:rsid w:val="00800B76"/>
    <w:rsid w:val="008016EF"/>
    <w:rsid w:val="008041FC"/>
    <w:rsid w:val="008058BE"/>
    <w:rsid w:val="00805CFD"/>
    <w:rsid w:val="00806C29"/>
    <w:rsid w:val="0080733B"/>
    <w:rsid w:val="00810EC3"/>
    <w:rsid w:val="0081113E"/>
    <w:rsid w:val="0081200F"/>
    <w:rsid w:val="008140BD"/>
    <w:rsid w:val="0081546D"/>
    <w:rsid w:val="008249E0"/>
    <w:rsid w:val="00824C40"/>
    <w:rsid w:val="00825513"/>
    <w:rsid w:val="00827A4C"/>
    <w:rsid w:val="00833C8F"/>
    <w:rsid w:val="0083452F"/>
    <w:rsid w:val="00835C1E"/>
    <w:rsid w:val="00835F94"/>
    <w:rsid w:val="00836BA9"/>
    <w:rsid w:val="0084116D"/>
    <w:rsid w:val="0084364B"/>
    <w:rsid w:val="00844D1B"/>
    <w:rsid w:val="00846619"/>
    <w:rsid w:val="008568A0"/>
    <w:rsid w:val="00857031"/>
    <w:rsid w:val="00861AC4"/>
    <w:rsid w:val="00865B90"/>
    <w:rsid w:val="00865F53"/>
    <w:rsid w:val="00866904"/>
    <w:rsid w:val="0087662D"/>
    <w:rsid w:val="00877A89"/>
    <w:rsid w:val="008863B7"/>
    <w:rsid w:val="00886F18"/>
    <w:rsid w:val="00887DBE"/>
    <w:rsid w:val="0089029F"/>
    <w:rsid w:val="00890ED6"/>
    <w:rsid w:val="00891EDD"/>
    <w:rsid w:val="00896265"/>
    <w:rsid w:val="00897EE5"/>
    <w:rsid w:val="008A0FAC"/>
    <w:rsid w:val="008A25F6"/>
    <w:rsid w:val="008A264F"/>
    <w:rsid w:val="008A2806"/>
    <w:rsid w:val="008A3E87"/>
    <w:rsid w:val="008B0487"/>
    <w:rsid w:val="008B0593"/>
    <w:rsid w:val="008B5041"/>
    <w:rsid w:val="008C0C8A"/>
    <w:rsid w:val="008C1309"/>
    <w:rsid w:val="008C14DE"/>
    <w:rsid w:val="008C4ABB"/>
    <w:rsid w:val="008D272E"/>
    <w:rsid w:val="008D42EB"/>
    <w:rsid w:val="008D450F"/>
    <w:rsid w:val="008D7B2C"/>
    <w:rsid w:val="008E2757"/>
    <w:rsid w:val="008E49B5"/>
    <w:rsid w:val="008E56EB"/>
    <w:rsid w:val="008F0418"/>
    <w:rsid w:val="008F111A"/>
    <w:rsid w:val="008F28C5"/>
    <w:rsid w:val="008F4760"/>
    <w:rsid w:val="008F65DB"/>
    <w:rsid w:val="0090360D"/>
    <w:rsid w:val="00904C5D"/>
    <w:rsid w:val="0090592A"/>
    <w:rsid w:val="00912467"/>
    <w:rsid w:val="00915CC5"/>
    <w:rsid w:val="00916317"/>
    <w:rsid w:val="0092041D"/>
    <w:rsid w:val="00921A5F"/>
    <w:rsid w:val="00925CE7"/>
    <w:rsid w:val="00926CC1"/>
    <w:rsid w:val="00934476"/>
    <w:rsid w:val="009377D9"/>
    <w:rsid w:val="00937876"/>
    <w:rsid w:val="00943118"/>
    <w:rsid w:val="00943708"/>
    <w:rsid w:val="0094484B"/>
    <w:rsid w:val="00945BFD"/>
    <w:rsid w:val="0094617F"/>
    <w:rsid w:val="009474CD"/>
    <w:rsid w:val="0095009E"/>
    <w:rsid w:val="00955E85"/>
    <w:rsid w:val="00957F96"/>
    <w:rsid w:val="00965C5B"/>
    <w:rsid w:val="00967E5E"/>
    <w:rsid w:val="0097290E"/>
    <w:rsid w:val="00975838"/>
    <w:rsid w:val="00977585"/>
    <w:rsid w:val="00977FE8"/>
    <w:rsid w:val="00980334"/>
    <w:rsid w:val="0098304F"/>
    <w:rsid w:val="009845E4"/>
    <w:rsid w:val="0099013D"/>
    <w:rsid w:val="00992380"/>
    <w:rsid w:val="00994184"/>
    <w:rsid w:val="00994316"/>
    <w:rsid w:val="00994735"/>
    <w:rsid w:val="00995CF9"/>
    <w:rsid w:val="009965C0"/>
    <w:rsid w:val="00996751"/>
    <w:rsid w:val="009A2CB6"/>
    <w:rsid w:val="009A5599"/>
    <w:rsid w:val="009A6C9D"/>
    <w:rsid w:val="009A6E30"/>
    <w:rsid w:val="009A7816"/>
    <w:rsid w:val="009B0C04"/>
    <w:rsid w:val="009B153F"/>
    <w:rsid w:val="009B36F2"/>
    <w:rsid w:val="009B3B11"/>
    <w:rsid w:val="009B615E"/>
    <w:rsid w:val="009B7A7B"/>
    <w:rsid w:val="009B7BC5"/>
    <w:rsid w:val="009C2568"/>
    <w:rsid w:val="009C390D"/>
    <w:rsid w:val="009C6C97"/>
    <w:rsid w:val="009D0179"/>
    <w:rsid w:val="009D06EC"/>
    <w:rsid w:val="009D1BA9"/>
    <w:rsid w:val="009D3902"/>
    <w:rsid w:val="009D499A"/>
    <w:rsid w:val="009D7507"/>
    <w:rsid w:val="009E15B2"/>
    <w:rsid w:val="009E35FC"/>
    <w:rsid w:val="009E4D8B"/>
    <w:rsid w:val="009E724D"/>
    <w:rsid w:val="009E7C6C"/>
    <w:rsid w:val="009F1E93"/>
    <w:rsid w:val="009F4517"/>
    <w:rsid w:val="009F7700"/>
    <w:rsid w:val="00A004AE"/>
    <w:rsid w:val="00A00AC8"/>
    <w:rsid w:val="00A010A7"/>
    <w:rsid w:val="00A011EB"/>
    <w:rsid w:val="00A01490"/>
    <w:rsid w:val="00A01650"/>
    <w:rsid w:val="00A01FC5"/>
    <w:rsid w:val="00A026F3"/>
    <w:rsid w:val="00A040F6"/>
    <w:rsid w:val="00A0452F"/>
    <w:rsid w:val="00A0545F"/>
    <w:rsid w:val="00A07637"/>
    <w:rsid w:val="00A12909"/>
    <w:rsid w:val="00A1501F"/>
    <w:rsid w:val="00A151AF"/>
    <w:rsid w:val="00A16052"/>
    <w:rsid w:val="00A1738A"/>
    <w:rsid w:val="00A2138B"/>
    <w:rsid w:val="00A21B54"/>
    <w:rsid w:val="00A237DA"/>
    <w:rsid w:val="00A25DC7"/>
    <w:rsid w:val="00A314EE"/>
    <w:rsid w:val="00A336A3"/>
    <w:rsid w:val="00A33D3C"/>
    <w:rsid w:val="00A35E3F"/>
    <w:rsid w:val="00A363B9"/>
    <w:rsid w:val="00A40239"/>
    <w:rsid w:val="00A41262"/>
    <w:rsid w:val="00A4419B"/>
    <w:rsid w:val="00A512A7"/>
    <w:rsid w:val="00A543F8"/>
    <w:rsid w:val="00A5452E"/>
    <w:rsid w:val="00A55F3D"/>
    <w:rsid w:val="00A60543"/>
    <w:rsid w:val="00A63095"/>
    <w:rsid w:val="00A65036"/>
    <w:rsid w:val="00A65127"/>
    <w:rsid w:val="00A660B7"/>
    <w:rsid w:val="00A67789"/>
    <w:rsid w:val="00A70809"/>
    <w:rsid w:val="00A71980"/>
    <w:rsid w:val="00A73CE9"/>
    <w:rsid w:val="00A741A2"/>
    <w:rsid w:val="00A7570D"/>
    <w:rsid w:val="00A7674A"/>
    <w:rsid w:val="00A81B72"/>
    <w:rsid w:val="00A837C4"/>
    <w:rsid w:val="00A8384D"/>
    <w:rsid w:val="00A8641E"/>
    <w:rsid w:val="00A86DEF"/>
    <w:rsid w:val="00A87439"/>
    <w:rsid w:val="00A909AF"/>
    <w:rsid w:val="00A92F3A"/>
    <w:rsid w:val="00A93BE9"/>
    <w:rsid w:val="00A94C2A"/>
    <w:rsid w:val="00AA0932"/>
    <w:rsid w:val="00AA201E"/>
    <w:rsid w:val="00AA296C"/>
    <w:rsid w:val="00AA4E0F"/>
    <w:rsid w:val="00AA5C9E"/>
    <w:rsid w:val="00AA6380"/>
    <w:rsid w:val="00AA63CB"/>
    <w:rsid w:val="00AA707A"/>
    <w:rsid w:val="00AA78D3"/>
    <w:rsid w:val="00AB08B4"/>
    <w:rsid w:val="00AB27C2"/>
    <w:rsid w:val="00AB3544"/>
    <w:rsid w:val="00AB3F5D"/>
    <w:rsid w:val="00AB4278"/>
    <w:rsid w:val="00AB60B3"/>
    <w:rsid w:val="00AB7BDB"/>
    <w:rsid w:val="00AD020E"/>
    <w:rsid w:val="00AD2113"/>
    <w:rsid w:val="00AD2D73"/>
    <w:rsid w:val="00AD3B0C"/>
    <w:rsid w:val="00AD3B62"/>
    <w:rsid w:val="00AD3BB6"/>
    <w:rsid w:val="00AD5C65"/>
    <w:rsid w:val="00AD6F71"/>
    <w:rsid w:val="00AE06D9"/>
    <w:rsid w:val="00AE075E"/>
    <w:rsid w:val="00AE2E29"/>
    <w:rsid w:val="00AE32F7"/>
    <w:rsid w:val="00AE43CD"/>
    <w:rsid w:val="00AE4843"/>
    <w:rsid w:val="00AE5859"/>
    <w:rsid w:val="00AE619F"/>
    <w:rsid w:val="00AE62C1"/>
    <w:rsid w:val="00AF0401"/>
    <w:rsid w:val="00AF04B5"/>
    <w:rsid w:val="00AF26B7"/>
    <w:rsid w:val="00AF63DF"/>
    <w:rsid w:val="00B00C7B"/>
    <w:rsid w:val="00B038C0"/>
    <w:rsid w:val="00B0691D"/>
    <w:rsid w:val="00B070CA"/>
    <w:rsid w:val="00B10342"/>
    <w:rsid w:val="00B1070C"/>
    <w:rsid w:val="00B10C46"/>
    <w:rsid w:val="00B12D2F"/>
    <w:rsid w:val="00B14522"/>
    <w:rsid w:val="00B1750A"/>
    <w:rsid w:val="00B2059E"/>
    <w:rsid w:val="00B213B9"/>
    <w:rsid w:val="00B2245B"/>
    <w:rsid w:val="00B227E7"/>
    <w:rsid w:val="00B2536C"/>
    <w:rsid w:val="00B2605A"/>
    <w:rsid w:val="00B264A5"/>
    <w:rsid w:val="00B266A3"/>
    <w:rsid w:val="00B310A3"/>
    <w:rsid w:val="00B3119D"/>
    <w:rsid w:val="00B31F31"/>
    <w:rsid w:val="00B333EA"/>
    <w:rsid w:val="00B34363"/>
    <w:rsid w:val="00B3653B"/>
    <w:rsid w:val="00B40A9D"/>
    <w:rsid w:val="00B42A2A"/>
    <w:rsid w:val="00B44FBB"/>
    <w:rsid w:val="00B47BB0"/>
    <w:rsid w:val="00B51AAA"/>
    <w:rsid w:val="00B5618E"/>
    <w:rsid w:val="00B57E6C"/>
    <w:rsid w:val="00B60C41"/>
    <w:rsid w:val="00B61A17"/>
    <w:rsid w:val="00B65850"/>
    <w:rsid w:val="00B66E15"/>
    <w:rsid w:val="00B72B2C"/>
    <w:rsid w:val="00B7522D"/>
    <w:rsid w:val="00B808B6"/>
    <w:rsid w:val="00B8211A"/>
    <w:rsid w:val="00B82840"/>
    <w:rsid w:val="00B8365C"/>
    <w:rsid w:val="00B855FE"/>
    <w:rsid w:val="00B86376"/>
    <w:rsid w:val="00B867F6"/>
    <w:rsid w:val="00B90261"/>
    <w:rsid w:val="00B91726"/>
    <w:rsid w:val="00B91C0C"/>
    <w:rsid w:val="00B96758"/>
    <w:rsid w:val="00B968F0"/>
    <w:rsid w:val="00BA05CC"/>
    <w:rsid w:val="00BA1F7E"/>
    <w:rsid w:val="00BA4BB0"/>
    <w:rsid w:val="00BA6C62"/>
    <w:rsid w:val="00BA7782"/>
    <w:rsid w:val="00BB05F3"/>
    <w:rsid w:val="00BB2220"/>
    <w:rsid w:val="00BB483A"/>
    <w:rsid w:val="00BC60B6"/>
    <w:rsid w:val="00BD0A37"/>
    <w:rsid w:val="00BD322C"/>
    <w:rsid w:val="00BD34D1"/>
    <w:rsid w:val="00BD38BD"/>
    <w:rsid w:val="00BD3FC0"/>
    <w:rsid w:val="00BE4605"/>
    <w:rsid w:val="00BE5435"/>
    <w:rsid w:val="00BE7A41"/>
    <w:rsid w:val="00BE7E05"/>
    <w:rsid w:val="00BF1B1C"/>
    <w:rsid w:val="00BF4DB1"/>
    <w:rsid w:val="00C0191C"/>
    <w:rsid w:val="00C06664"/>
    <w:rsid w:val="00C07206"/>
    <w:rsid w:val="00C0769F"/>
    <w:rsid w:val="00C07B02"/>
    <w:rsid w:val="00C07BE1"/>
    <w:rsid w:val="00C1007C"/>
    <w:rsid w:val="00C10F62"/>
    <w:rsid w:val="00C14064"/>
    <w:rsid w:val="00C16913"/>
    <w:rsid w:val="00C17343"/>
    <w:rsid w:val="00C21BB4"/>
    <w:rsid w:val="00C230CA"/>
    <w:rsid w:val="00C23221"/>
    <w:rsid w:val="00C23EDA"/>
    <w:rsid w:val="00C260D4"/>
    <w:rsid w:val="00C27B03"/>
    <w:rsid w:val="00C32413"/>
    <w:rsid w:val="00C32B07"/>
    <w:rsid w:val="00C33F24"/>
    <w:rsid w:val="00C349F2"/>
    <w:rsid w:val="00C34EE5"/>
    <w:rsid w:val="00C3513C"/>
    <w:rsid w:val="00C40C33"/>
    <w:rsid w:val="00C417DA"/>
    <w:rsid w:val="00C42F72"/>
    <w:rsid w:val="00C44212"/>
    <w:rsid w:val="00C44B58"/>
    <w:rsid w:val="00C4534D"/>
    <w:rsid w:val="00C508AE"/>
    <w:rsid w:val="00C571B5"/>
    <w:rsid w:val="00C57312"/>
    <w:rsid w:val="00C57417"/>
    <w:rsid w:val="00C606A5"/>
    <w:rsid w:val="00C61EE3"/>
    <w:rsid w:val="00C655CE"/>
    <w:rsid w:val="00C6563C"/>
    <w:rsid w:val="00C65D6B"/>
    <w:rsid w:val="00C66BC9"/>
    <w:rsid w:val="00C70356"/>
    <w:rsid w:val="00C756FB"/>
    <w:rsid w:val="00C7707A"/>
    <w:rsid w:val="00C81E61"/>
    <w:rsid w:val="00C83618"/>
    <w:rsid w:val="00C84031"/>
    <w:rsid w:val="00C841AC"/>
    <w:rsid w:val="00C842D9"/>
    <w:rsid w:val="00C9316B"/>
    <w:rsid w:val="00C94377"/>
    <w:rsid w:val="00C9500C"/>
    <w:rsid w:val="00C95339"/>
    <w:rsid w:val="00C974E5"/>
    <w:rsid w:val="00CA2E3B"/>
    <w:rsid w:val="00CA31AD"/>
    <w:rsid w:val="00CA46B3"/>
    <w:rsid w:val="00CA5654"/>
    <w:rsid w:val="00CA6101"/>
    <w:rsid w:val="00CA7037"/>
    <w:rsid w:val="00CB45BD"/>
    <w:rsid w:val="00CB5608"/>
    <w:rsid w:val="00CB6949"/>
    <w:rsid w:val="00CB757B"/>
    <w:rsid w:val="00CC11C4"/>
    <w:rsid w:val="00CC2C33"/>
    <w:rsid w:val="00CC50D6"/>
    <w:rsid w:val="00CC60A9"/>
    <w:rsid w:val="00CD0833"/>
    <w:rsid w:val="00CD2ADA"/>
    <w:rsid w:val="00CD441A"/>
    <w:rsid w:val="00CD566E"/>
    <w:rsid w:val="00CD5F8E"/>
    <w:rsid w:val="00CD61B2"/>
    <w:rsid w:val="00CD683F"/>
    <w:rsid w:val="00CD7D54"/>
    <w:rsid w:val="00CD7E44"/>
    <w:rsid w:val="00CE11DC"/>
    <w:rsid w:val="00CE2613"/>
    <w:rsid w:val="00CE2E40"/>
    <w:rsid w:val="00CE3B96"/>
    <w:rsid w:val="00CE3DFD"/>
    <w:rsid w:val="00CF0690"/>
    <w:rsid w:val="00CF095E"/>
    <w:rsid w:val="00CF1A87"/>
    <w:rsid w:val="00CF2CA4"/>
    <w:rsid w:val="00CF398A"/>
    <w:rsid w:val="00CF6C85"/>
    <w:rsid w:val="00CF7766"/>
    <w:rsid w:val="00CF7DA4"/>
    <w:rsid w:val="00D004E3"/>
    <w:rsid w:val="00D06FC1"/>
    <w:rsid w:val="00D07303"/>
    <w:rsid w:val="00D07DBE"/>
    <w:rsid w:val="00D13993"/>
    <w:rsid w:val="00D17F46"/>
    <w:rsid w:val="00D203DF"/>
    <w:rsid w:val="00D220E0"/>
    <w:rsid w:val="00D227B2"/>
    <w:rsid w:val="00D26BFB"/>
    <w:rsid w:val="00D31A47"/>
    <w:rsid w:val="00D31CAA"/>
    <w:rsid w:val="00D43AAD"/>
    <w:rsid w:val="00D44120"/>
    <w:rsid w:val="00D44676"/>
    <w:rsid w:val="00D44F21"/>
    <w:rsid w:val="00D46328"/>
    <w:rsid w:val="00D521F4"/>
    <w:rsid w:val="00D52DA0"/>
    <w:rsid w:val="00D52F71"/>
    <w:rsid w:val="00D5673A"/>
    <w:rsid w:val="00D56E65"/>
    <w:rsid w:val="00D57E55"/>
    <w:rsid w:val="00D57F6C"/>
    <w:rsid w:val="00D60BA0"/>
    <w:rsid w:val="00D626E0"/>
    <w:rsid w:val="00D627D2"/>
    <w:rsid w:val="00D62F33"/>
    <w:rsid w:val="00D648EF"/>
    <w:rsid w:val="00D70818"/>
    <w:rsid w:val="00D7323B"/>
    <w:rsid w:val="00D73AC9"/>
    <w:rsid w:val="00D7676D"/>
    <w:rsid w:val="00D84D2C"/>
    <w:rsid w:val="00D907A8"/>
    <w:rsid w:val="00D92EC1"/>
    <w:rsid w:val="00D932A9"/>
    <w:rsid w:val="00D93413"/>
    <w:rsid w:val="00D95C92"/>
    <w:rsid w:val="00DA1801"/>
    <w:rsid w:val="00DA2572"/>
    <w:rsid w:val="00DA2A3C"/>
    <w:rsid w:val="00DA2C64"/>
    <w:rsid w:val="00DA397E"/>
    <w:rsid w:val="00DA4870"/>
    <w:rsid w:val="00DA5DBC"/>
    <w:rsid w:val="00DA607E"/>
    <w:rsid w:val="00DA755A"/>
    <w:rsid w:val="00DA770B"/>
    <w:rsid w:val="00DB09F8"/>
    <w:rsid w:val="00DB2CAA"/>
    <w:rsid w:val="00DB3659"/>
    <w:rsid w:val="00DB4D0E"/>
    <w:rsid w:val="00DB4E51"/>
    <w:rsid w:val="00DB5593"/>
    <w:rsid w:val="00DB5A73"/>
    <w:rsid w:val="00DB6936"/>
    <w:rsid w:val="00DC3CCD"/>
    <w:rsid w:val="00DC3F10"/>
    <w:rsid w:val="00DC3F5F"/>
    <w:rsid w:val="00DC4602"/>
    <w:rsid w:val="00DC4AA3"/>
    <w:rsid w:val="00DC636F"/>
    <w:rsid w:val="00DC6814"/>
    <w:rsid w:val="00DC7BB3"/>
    <w:rsid w:val="00DD09AA"/>
    <w:rsid w:val="00DD15EF"/>
    <w:rsid w:val="00DD1774"/>
    <w:rsid w:val="00DD213C"/>
    <w:rsid w:val="00DD275C"/>
    <w:rsid w:val="00DD3D04"/>
    <w:rsid w:val="00DD4A89"/>
    <w:rsid w:val="00DE0CD0"/>
    <w:rsid w:val="00DE1225"/>
    <w:rsid w:val="00DE1B1C"/>
    <w:rsid w:val="00DE362C"/>
    <w:rsid w:val="00DE3B1F"/>
    <w:rsid w:val="00DE4147"/>
    <w:rsid w:val="00DE7034"/>
    <w:rsid w:val="00DE75E4"/>
    <w:rsid w:val="00DF2A09"/>
    <w:rsid w:val="00E005D0"/>
    <w:rsid w:val="00E021B2"/>
    <w:rsid w:val="00E02E6E"/>
    <w:rsid w:val="00E03C1A"/>
    <w:rsid w:val="00E05CA5"/>
    <w:rsid w:val="00E06586"/>
    <w:rsid w:val="00E11FF3"/>
    <w:rsid w:val="00E155DA"/>
    <w:rsid w:val="00E161ED"/>
    <w:rsid w:val="00E162B4"/>
    <w:rsid w:val="00E2008E"/>
    <w:rsid w:val="00E202CD"/>
    <w:rsid w:val="00E22CA0"/>
    <w:rsid w:val="00E23F1D"/>
    <w:rsid w:val="00E24526"/>
    <w:rsid w:val="00E3120A"/>
    <w:rsid w:val="00E33186"/>
    <w:rsid w:val="00E34487"/>
    <w:rsid w:val="00E35CDC"/>
    <w:rsid w:val="00E35E48"/>
    <w:rsid w:val="00E36388"/>
    <w:rsid w:val="00E40E50"/>
    <w:rsid w:val="00E44A4B"/>
    <w:rsid w:val="00E46FE5"/>
    <w:rsid w:val="00E52761"/>
    <w:rsid w:val="00E53066"/>
    <w:rsid w:val="00E532A8"/>
    <w:rsid w:val="00E56FD1"/>
    <w:rsid w:val="00E5775B"/>
    <w:rsid w:val="00E62A4C"/>
    <w:rsid w:val="00E64645"/>
    <w:rsid w:val="00E6578F"/>
    <w:rsid w:val="00E6639E"/>
    <w:rsid w:val="00E67159"/>
    <w:rsid w:val="00E67DC2"/>
    <w:rsid w:val="00E7101C"/>
    <w:rsid w:val="00E711D3"/>
    <w:rsid w:val="00E725BE"/>
    <w:rsid w:val="00E727AC"/>
    <w:rsid w:val="00E72F1A"/>
    <w:rsid w:val="00E737A6"/>
    <w:rsid w:val="00E74935"/>
    <w:rsid w:val="00E83441"/>
    <w:rsid w:val="00E83840"/>
    <w:rsid w:val="00E8437B"/>
    <w:rsid w:val="00E86617"/>
    <w:rsid w:val="00E90A26"/>
    <w:rsid w:val="00E919C0"/>
    <w:rsid w:val="00E93D66"/>
    <w:rsid w:val="00E96B6A"/>
    <w:rsid w:val="00EA1272"/>
    <w:rsid w:val="00EA1EB0"/>
    <w:rsid w:val="00EA2C04"/>
    <w:rsid w:val="00EA31ED"/>
    <w:rsid w:val="00EB0E84"/>
    <w:rsid w:val="00EB18BC"/>
    <w:rsid w:val="00EB52EE"/>
    <w:rsid w:val="00EC046D"/>
    <w:rsid w:val="00EC13E2"/>
    <w:rsid w:val="00EC449D"/>
    <w:rsid w:val="00ED09BD"/>
    <w:rsid w:val="00ED46D8"/>
    <w:rsid w:val="00ED7C8A"/>
    <w:rsid w:val="00EE0DE1"/>
    <w:rsid w:val="00EE60A7"/>
    <w:rsid w:val="00EE6322"/>
    <w:rsid w:val="00EE75EA"/>
    <w:rsid w:val="00EF1656"/>
    <w:rsid w:val="00EF2D45"/>
    <w:rsid w:val="00EF35A0"/>
    <w:rsid w:val="00EF35DF"/>
    <w:rsid w:val="00EF3866"/>
    <w:rsid w:val="00F01133"/>
    <w:rsid w:val="00F02D93"/>
    <w:rsid w:val="00F0467E"/>
    <w:rsid w:val="00F05A38"/>
    <w:rsid w:val="00F110A9"/>
    <w:rsid w:val="00F1120A"/>
    <w:rsid w:val="00F124CA"/>
    <w:rsid w:val="00F12917"/>
    <w:rsid w:val="00F13763"/>
    <w:rsid w:val="00F159C2"/>
    <w:rsid w:val="00F1740F"/>
    <w:rsid w:val="00F214C4"/>
    <w:rsid w:val="00F236F3"/>
    <w:rsid w:val="00F23774"/>
    <w:rsid w:val="00F23805"/>
    <w:rsid w:val="00F2446A"/>
    <w:rsid w:val="00F26027"/>
    <w:rsid w:val="00F26949"/>
    <w:rsid w:val="00F275DB"/>
    <w:rsid w:val="00F278D2"/>
    <w:rsid w:val="00F36342"/>
    <w:rsid w:val="00F37DFB"/>
    <w:rsid w:val="00F40142"/>
    <w:rsid w:val="00F4239C"/>
    <w:rsid w:val="00F44EB3"/>
    <w:rsid w:val="00F4524D"/>
    <w:rsid w:val="00F4629B"/>
    <w:rsid w:val="00F512EF"/>
    <w:rsid w:val="00F51E6D"/>
    <w:rsid w:val="00F55556"/>
    <w:rsid w:val="00F56E70"/>
    <w:rsid w:val="00F616EE"/>
    <w:rsid w:val="00F62730"/>
    <w:rsid w:val="00F658C7"/>
    <w:rsid w:val="00F6627F"/>
    <w:rsid w:val="00F70BA6"/>
    <w:rsid w:val="00F71DDA"/>
    <w:rsid w:val="00F81100"/>
    <w:rsid w:val="00F82ADA"/>
    <w:rsid w:val="00F83608"/>
    <w:rsid w:val="00F83C23"/>
    <w:rsid w:val="00F853EB"/>
    <w:rsid w:val="00F86441"/>
    <w:rsid w:val="00F86857"/>
    <w:rsid w:val="00F87A68"/>
    <w:rsid w:val="00F906A0"/>
    <w:rsid w:val="00F906D1"/>
    <w:rsid w:val="00F919F5"/>
    <w:rsid w:val="00F977B9"/>
    <w:rsid w:val="00F97CA8"/>
    <w:rsid w:val="00FA0F3C"/>
    <w:rsid w:val="00FA1106"/>
    <w:rsid w:val="00FA2556"/>
    <w:rsid w:val="00FA34B0"/>
    <w:rsid w:val="00FA4488"/>
    <w:rsid w:val="00FA6D53"/>
    <w:rsid w:val="00FB311F"/>
    <w:rsid w:val="00FB3860"/>
    <w:rsid w:val="00FB43E7"/>
    <w:rsid w:val="00FC20C3"/>
    <w:rsid w:val="00FC2159"/>
    <w:rsid w:val="00FC29AD"/>
    <w:rsid w:val="00FC35DF"/>
    <w:rsid w:val="00FC5615"/>
    <w:rsid w:val="00FD1597"/>
    <w:rsid w:val="00FD235F"/>
    <w:rsid w:val="00FD5E1C"/>
    <w:rsid w:val="00FE07CC"/>
    <w:rsid w:val="00FE0826"/>
    <w:rsid w:val="00FE10F3"/>
    <w:rsid w:val="00FE2041"/>
    <w:rsid w:val="00FE4080"/>
    <w:rsid w:val="00FE51B7"/>
    <w:rsid w:val="00FE6A32"/>
    <w:rsid w:val="00FF05F2"/>
    <w:rsid w:val="00FF0F4D"/>
    <w:rsid w:val="00FF19BD"/>
    <w:rsid w:val="00FF40F0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6D09EC75"/>
  <w15:docId w15:val="{D27D2F53-185E-48CB-BEBF-B78C585D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5D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5F09E1"/>
    <w:rPr>
      <w:i/>
      <w:iCs/>
    </w:rPr>
  </w:style>
  <w:style w:type="paragraph" w:customStyle="1" w:styleId="Default">
    <w:name w:val="Default"/>
    <w:uiPriority w:val="99"/>
    <w:rsid w:val="005F0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44A4B"/>
    <w:rPr>
      <w:color w:val="0563C1" w:themeColor="hyperlink"/>
      <w:u w:val="single"/>
    </w:rPr>
  </w:style>
  <w:style w:type="character" w:customStyle="1" w:styleId="caption-value">
    <w:name w:val="caption-value"/>
    <w:basedOn w:val="Fontepargpadro"/>
    <w:rsid w:val="00685D67"/>
  </w:style>
  <w:style w:type="character" w:styleId="Refdecomentrio">
    <w:name w:val="annotation reference"/>
    <w:basedOn w:val="Fontepargpadro"/>
    <w:uiPriority w:val="99"/>
    <w:semiHidden/>
    <w:unhideWhenUsed/>
    <w:rsid w:val="00684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4B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4B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4B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4B7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46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nios.e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D64D-3216-47F3-8BBD-F3527848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1371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Sandin Amaral</dc:creator>
  <cp:lastModifiedBy>Aline Adelle Fraiha Gonçalves</cp:lastModifiedBy>
  <cp:revision>68</cp:revision>
  <cp:lastPrinted>2022-12-21T11:49:00Z</cp:lastPrinted>
  <dcterms:created xsi:type="dcterms:W3CDTF">2022-11-17T12:21:00Z</dcterms:created>
  <dcterms:modified xsi:type="dcterms:W3CDTF">2022-12-21T16:32:00Z</dcterms:modified>
</cp:coreProperties>
</file>