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63507A" w:rsidRPr="00F560F1" w:rsidTr="008A78F7">
        <w:tc>
          <w:tcPr>
            <w:tcW w:w="9067" w:type="dxa"/>
            <w:shd w:val="clear" w:color="auto" w:fill="auto"/>
          </w:tcPr>
          <w:p w:rsidR="0063507A" w:rsidRPr="00F560F1" w:rsidRDefault="0063507A" w:rsidP="008A78F7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" name="Caixa de texto 1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66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3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DN9jf5/gEAAO4DAAAOAAAAAAAAAAAAAAAAAC4C&#10;AABkcnMvZTJvRG9jLnhtbFBLAQItABQABgAIAAAAIQAj7kal2AAAAAUBAAAPAAAAAAAAAAAAAAAA&#10;AFgEAABkcnMvZG93bnJldi54bWxQSwUGAAAAAAQABADzAAAAXQUAAAAA&#10;" filled="f" stroked="f">
                      <o:lock v:ext="edit" selection="t" text="t" shapetype="t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" name="Caixa de texto 1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25D49" id="Caixa de texto 12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BpeGiU/gEAAO4DAAAOAAAAAAAAAAAAAAAAAC4C&#10;AABkcnMvZTJvRG9jLnhtbFBLAQItABQABgAIAAAAIQAj7kal2AAAAAUBAAAPAAAAAAAAAAAAAAAA&#10;AFgEAABkcnMvZG93bnJldi54bWxQSwUGAAAAAAQABADzAAAAXQUAAAAA&#10;" filled="f" stroked="f">
                      <o:lock v:ext="edit" selection="t" text="t" shapetype="t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" name="Caixa de texto 1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95E61" id="Caixa de texto 10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" filled="f" stroked="f">
                      <o:lock v:ext="edit" selection="t" text="t" shapetype="t"/>
                    </v:shape>
                  </w:pict>
                </mc:Fallback>
              </mc:AlternateContent>
            </w: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 w:rsidR="007F31A5">
              <w:rPr>
                <w:rFonts w:ascii="Arial" w:eastAsia="Arial" w:hAnsi="Arial" w:cs="Arial"/>
                <w:b/>
                <w:sz w:val="24"/>
                <w:szCs w:val="24"/>
              </w:rPr>
              <w:t>SCL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Nº 017</w:t>
            </w:r>
          </w:p>
        </w:tc>
      </w:tr>
    </w:tbl>
    <w:p w:rsidR="0063507A" w:rsidRPr="00F560F1" w:rsidRDefault="0063507A" w:rsidP="0063507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9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15"/>
        <w:gridCol w:w="2910"/>
      </w:tblGrid>
      <w:tr w:rsidR="0063507A" w:rsidRPr="00F560F1" w:rsidTr="008A78F7">
        <w:tc>
          <w:tcPr>
            <w:tcW w:w="1413" w:type="dxa"/>
            <w:vAlign w:val="center"/>
          </w:tcPr>
          <w:p w:rsidR="0063507A" w:rsidRPr="00F560F1" w:rsidRDefault="0063507A" w:rsidP="008A78F7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63" w:type="dxa"/>
            <w:gridSpan w:val="3"/>
            <w:vAlign w:val="center"/>
          </w:tcPr>
          <w:p w:rsidR="0063507A" w:rsidRPr="00F560F1" w:rsidRDefault="0063507A" w:rsidP="008A78F7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Recebimento do Objeto e Pagamento</w:t>
            </w:r>
          </w:p>
        </w:tc>
      </w:tr>
      <w:tr w:rsidR="0063507A" w:rsidRPr="00F560F1" w:rsidTr="008A78F7">
        <w:tc>
          <w:tcPr>
            <w:tcW w:w="1413" w:type="dxa"/>
            <w:vAlign w:val="center"/>
          </w:tcPr>
          <w:p w:rsidR="0063507A" w:rsidRPr="00F560F1" w:rsidRDefault="0063507A" w:rsidP="008A78F7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63" w:type="dxa"/>
            <w:gridSpan w:val="3"/>
            <w:vAlign w:val="center"/>
          </w:tcPr>
          <w:p w:rsidR="0063507A" w:rsidRPr="00F560F1" w:rsidRDefault="0063507A" w:rsidP="008A78F7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63507A" w:rsidRPr="00F560F1" w:rsidTr="008A78F7">
        <w:tc>
          <w:tcPr>
            <w:tcW w:w="1413" w:type="dxa"/>
            <w:vAlign w:val="center"/>
          </w:tcPr>
          <w:p w:rsidR="0063507A" w:rsidRPr="00F560F1" w:rsidRDefault="0063507A" w:rsidP="008A78F7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753" w:type="dxa"/>
            <w:gridSpan w:val="2"/>
            <w:vAlign w:val="center"/>
          </w:tcPr>
          <w:p w:rsidR="0063507A" w:rsidRPr="00F560F1" w:rsidRDefault="0063507A" w:rsidP="008A78F7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21B3B">
              <w:rPr>
                <w:rFonts w:ascii="Arial" w:hAnsi="Arial" w:cs="Arial"/>
                <w:bCs/>
                <w:sz w:val="24"/>
                <w:szCs w:val="24"/>
              </w:rPr>
              <w:t>Sistema de Compras, Licitações e Contratos</w:t>
            </w:r>
          </w:p>
        </w:tc>
        <w:tc>
          <w:tcPr>
            <w:tcW w:w="2910" w:type="dxa"/>
            <w:vAlign w:val="center"/>
          </w:tcPr>
          <w:p w:rsidR="0063507A" w:rsidRPr="00F560F1" w:rsidRDefault="0063507A" w:rsidP="0063507A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</w:p>
        </w:tc>
      </w:tr>
      <w:tr w:rsidR="0063507A" w:rsidRPr="00F560F1" w:rsidTr="008A78F7">
        <w:tc>
          <w:tcPr>
            <w:tcW w:w="1413" w:type="dxa"/>
            <w:vAlign w:val="center"/>
          </w:tcPr>
          <w:p w:rsidR="0063507A" w:rsidRPr="00F560F1" w:rsidRDefault="0063507A" w:rsidP="008A78F7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63507A" w:rsidRPr="00F560F1" w:rsidRDefault="0063507A" w:rsidP="008A78F7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5" w:type="dxa"/>
            <w:vAlign w:val="center"/>
          </w:tcPr>
          <w:p w:rsidR="0063507A" w:rsidRPr="00F560F1" w:rsidRDefault="0063507A" w:rsidP="00584B37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 xml:space="preserve">Portaria n.º </w:t>
            </w:r>
            <w:r w:rsidR="00584B37">
              <w:rPr>
                <w:rFonts w:ascii="Arial" w:eastAsia="Arial" w:hAnsi="Arial" w:cs="Arial"/>
                <w:sz w:val="24"/>
                <w:szCs w:val="24"/>
              </w:rPr>
              <w:t>50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-R/2022</w:t>
            </w:r>
          </w:p>
        </w:tc>
        <w:tc>
          <w:tcPr>
            <w:tcW w:w="2910" w:type="dxa"/>
            <w:vAlign w:val="center"/>
          </w:tcPr>
          <w:p w:rsidR="0063507A" w:rsidRPr="00F560F1" w:rsidRDefault="0063507A" w:rsidP="00584B37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sz w:val="24"/>
                <w:szCs w:val="24"/>
              </w:rPr>
              <w:t xml:space="preserve">Vigência: </w:t>
            </w:r>
            <w:r w:rsidR="00584B37" w:rsidRPr="00584B37">
              <w:rPr>
                <w:rFonts w:ascii="Arial" w:eastAsia="Arial" w:hAnsi="Arial" w:cs="Arial"/>
                <w:sz w:val="24"/>
                <w:szCs w:val="24"/>
              </w:rPr>
              <w:t>05/10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:rsidR="0063507A" w:rsidRPr="00593DB2" w:rsidRDefault="0063507A" w:rsidP="0044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FD1390" w:rsidRDefault="00C2087A" w:rsidP="00FD139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D1390">
        <w:rPr>
          <w:rFonts w:ascii="Arial" w:hAnsi="Arial" w:cs="Arial"/>
          <w:b/>
          <w:bCs/>
          <w:sz w:val="24"/>
          <w:szCs w:val="24"/>
        </w:rPr>
        <w:t>OBJETIVO</w:t>
      </w:r>
    </w:p>
    <w:p w:rsidR="003D76BC" w:rsidRPr="00FD1390" w:rsidRDefault="003D76B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FD1390" w:rsidRDefault="009F1D97" w:rsidP="00FD139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Estabelec</w:t>
      </w:r>
      <w:r w:rsidR="00CE732D" w:rsidRPr="00FD1390">
        <w:rPr>
          <w:rFonts w:ascii="Arial" w:hAnsi="Arial" w:cs="Arial"/>
          <w:sz w:val="24"/>
          <w:szCs w:val="24"/>
        </w:rPr>
        <w:t>er padronização para a realização do recebimento do objeto contratado</w:t>
      </w:r>
      <w:r w:rsidR="00D6195E" w:rsidRPr="00FD1390">
        <w:rPr>
          <w:rFonts w:ascii="Arial" w:hAnsi="Arial" w:cs="Arial"/>
          <w:sz w:val="24"/>
          <w:szCs w:val="24"/>
        </w:rPr>
        <w:t xml:space="preserve"> e</w:t>
      </w:r>
      <w:r w:rsidR="00E77F7A" w:rsidRPr="00FD1390">
        <w:rPr>
          <w:rFonts w:ascii="Arial" w:hAnsi="Arial" w:cs="Arial"/>
          <w:sz w:val="24"/>
          <w:szCs w:val="24"/>
        </w:rPr>
        <w:t xml:space="preserve"> pagamento da contraprestação pelo fornecimento/serviço ou obra</w:t>
      </w:r>
      <w:r w:rsidRPr="00FD1390">
        <w:rPr>
          <w:rFonts w:ascii="Arial" w:hAnsi="Arial" w:cs="Arial"/>
          <w:sz w:val="24"/>
          <w:szCs w:val="24"/>
        </w:rPr>
        <w:t>.</w:t>
      </w:r>
    </w:p>
    <w:p w:rsidR="00F110A9" w:rsidRPr="00FD1390" w:rsidRDefault="00F110A9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FD1390" w:rsidRDefault="00F110A9" w:rsidP="00FD139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D1390">
        <w:rPr>
          <w:rFonts w:ascii="Arial" w:hAnsi="Arial" w:cs="Arial"/>
          <w:b/>
          <w:bCs/>
          <w:sz w:val="24"/>
          <w:szCs w:val="24"/>
        </w:rPr>
        <w:t>ABRANGÊNCIA</w:t>
      </w:r>
    </w:p>
    <w:p w:rsidR="003D76BC" w:rsidRPr="00FD1390" w:rsidRDefault="003D76B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FD1390" w:rsidRDefault="008E2541" w:rsidP="00FD1390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Órgãos da administração di</w:t>
      </w:r>
      <w:r w:rsidR="009F1D97" w:rsidRPr="00FD1390">
        <w:rPr>
          <w:rFonts w:ascii="Arial" w:hAnsi="Arial" w:cs="Arial"/>
          <w:sz w:val="24"/>
          <w:szCs w:val="24"/>
        </w:rPr>
        <w:t xml:space="preserve">reta, </w:t>
      </w:r>
      <w:r>
        <w:rPr>
          <w:rFonts w:ascii="Arial" w:hAnsi="Arial" w:cs="Arial"/>
          <w:sz w:val="24"/>
          <w:szCs w:val="24"/>
        </w:rPr>
        <w:t>a</w:t>
      </w:r>
      <w:r w:rsidR="009F1D97" w:rsidRPr="00FD1390">
        <w:rPr>
          <w:rFonts w:ascii="Arial" w:hAnsi="Arial" w:cs="Arial"/>
          <w:sz w:val="24"/>
          <w:szCs w:val="24"/>
        </w:rPr>
        <w:t xml:space="preserve">utárquica e </w:t>
      </w:r>
      <w:r>
        <w:rPr>
          <w:rFonts w:ascii="Arial" w:hAnsi="Arial" w:cs="Arial"/>
          <w:sz w:val="24"/>
          <w:szCs w:val="24"/>
        </w:rPr>
        <w:t>f</w:t>
      </w:r>
      <w:r w:rsidR="009F1D97" w:rsidRPr="00FD1390">
        <w:rPr>
          <w:rFonts w:ascii="Arial" w:hAnsi="Arial" w:cs="Arial"/>
          <w:sz w:val="24"/>
          <w:szCs w:val="24"/>
        </w:rPr>
        <w:t>undacional</w:t>
      </w:r>
      <w:r w:rsidR="003B60C5">
        <w:rPr>
          <w:rFonts w:ascii="Arial" w:hAnsi="Arial" w:cs="Arial"/>
          <w:sz w:val="24"/>
          <w:szCs w:val="24"/>
        </w:rPr>
        <w:t xml:space="preserve"> do Poder Executivo Estadual</w:t>
      </w:r>
      <w:r w:rsidR="009F1D97" w:rsidRPr="00FD1390">
        <w:rPr>
          <w:rFonts w:ascii="Arial" w:hAnsi="Arial" w:cs="Arial"/>
          <w:sz w:val="24"/>
          <w:szCs w:val="24"/>
        </w:rPr>
        <w:t>.</w:t>
      </w:r>
    </w:p>
    <w:p w:rsidR="00F110A9" w:rsidRPr="00FD1390" w:rsidRDefault="00F110A9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FD1390" w:rsidRDefault="00F110A9" w:rsidP="00FD139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D1390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545E10" w:rsidRPr="00FD1390" w:rsidRDefault="00545E10" w:rsidP="00FD13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5E10" w:rsidRPr="00FD1390" w:rsidRDefault="00545E10" w:rsidP="00FD1390">
      <w:pPr>
        <w:pStyle w:val="PargrafodaList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t>L</w:t>
      </w:r>
      <w:r w:rsidR="00593DB2" w:rsidRPr="00FD1390">
        <w:rPr>
          <w:rFonts w:ascii="Arial" w:hAnsi="Arial" w:cs="Arial"/>
          <w:b/>
          <w:sz w:val="24"/>
          <w:szCs w:val="24"/>
        </w:rPr>
        <w:t>ei Federal n.º 8.666</w:t>
      </w:r>
      <w:r w:rsidR="00593DB2" w:rsidRPr="008D1934">
        <w:rPr>
          <w:rFonts w:ascii="Arial" w:hAnsi="Arial" w:cs="Arial"/>
          <w:b/>
          <w:sz w:val="24"/>
          <w:szCs w:val="24"/>
        </w:rPr>
        <w:t>, de 21/06/1993</w:t>
      </w:r>
      <w:r w:rsidR="00593DB2" w:rsidRPr="00FD1390">
        <w:rPr>
          <w:rFonts w:ascii="Arial" w:hAnsi="Arial" w:cs="Arial"/>
          <w:sz w:val="24"/>
          <w:szCs w:val="24"/>
        </w:rPr>
        <w:t xml:space="preserve"> – Regulamenta o art. 37, inciso XXI, da Constituição Federal, institui normas para licitações e contratos da Administração Pública e dá outras providências</w:t>
      </w:r>
      <w:r w:rsidR="009214D4">
        <w:rPr>
          <w:rFonts w:ascii="Arial" w:hAnsi="Arial" w:cs="Arial"/>
          <w:sz w:val="24"/>
          <w:szCs w:val="24"/>
        </w:rPr>
        <w:t>;</w:t>
      </w:r>
    </w:p>
    <w:p w:rsidR="00545E10" w:rsidRPr="00FD1390" w:rsidRDefault="00545E10" w:rsidP="00FD1390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65AE9" w:rsidRPr="00FD1390" w:rsidRDefault="00665AE9" w:rsidP="00FD1390">
      <w:pPr>
        <w:pStyle w:val="PargrafodaList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t xml:space="preserve">Lei Estadual nº 5.383, </w:t>
      </w:r>
      <w:r w:rsidRPr="008D1934">
        <w:rPr>
          <w:rFonts w:ascii="Arial" w:hAnsi="Arial" w:cs="Arial"/>
          <w:b/>
          <w:sz w:val="24"/>
          <w:szCs w:val="24"/>
        </w:rPr>
        <w:t xml:space="preserve">de </w:t>
      </w:r>
      <w:r w:rsidR="00A41E40" w:rsidRPr="008D1934">
        <w:rPr>
          <w:rFonts w:ascii="Arial" w:hAnsi="Arial" w:cs="Arial"/>
          <w:b/>
          <w:sz w:val="24"/>
          <w:szCs w:val="24"/>
        </w:rPr>
        <w:t>17/03/</w:t>
      </w:r>
      <w:r w:rsidRPr="008D1934">
        <w:rPr>
          <w:rFonts w:ascii="Arial" w:hAnsi="Arial" w:cs="Arial"/>
          <w:b/>
          <w:sz w:val="24"/>
          <w:szCs w:val="24"/>
        </w:rPr>
        <w:t>1997</w:t>
      </w:r>
      <w:r w:rsidR="00A41E40" w:rsidRPr="008D1934">
        <w:rPr>
          <w:rFonts w:ascii="Arial" w:hAnsi="Arial" w:cs="Arial"/>
          <w:b/>
          <w:sz w:val="24"/>
          <w:szCs w:val="24"/>
        </w:rPr>
        <w:t xml:space="preserve"> </w:t>
      </w:r>
      <w:r w:rsidR="00A41E40" w:rsidRPr="00FD1390">
        <w:rPr>
          <w:rFonts w:ascii="Arial" w:hAnsi="Arial" w:cs="Arial"/>
          <w:sz w:val="24"/>
          <w:szCs w:val="24"/>
        </w:rPr>
        <w:t>– Condiciona o pagamento de obras e serviços públicos contratados com a administração pública à prévia demonstração dos pagamentos dos encargos trabalhistas, previdenciários, fiscais e comerciais resu</w:t>
      </w:r>
      <w:r w:rsidR="009214D4">
        <w:rPr>
          <w:rFonts w:ascii="Arial" w:hAnsi="Arial" w:cs="Arial"/>
          <w:sz w:val="24"/>
          <w:szCs w:val="24"/>
        </w:rPr>
        <w:t>ltantes da execução do contrato;</w:t>
      </w:r>
    </w:p>
    <w:p w:rsidR="00665AE9" w:rsidRPr="00FD1390" w:rsidRDefault="00665AE9" w:rsidP="00FD1390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65AE9" w:rsidRPr="00FD1390" w:rsidRDefault="00665AE9" w:rsidP="00FD1390">
      <w:pPr>
        <w:pStyle w:val="PargrafodaList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t>Decreto Estadual nº 1.938-R</w:t>
      </w:r>
      <w:r w:rsidRPr="008D1934">
        <w:rPr>
          <w:rFonts w:ascii="Arial" w:hAnsi="Arial" w:cs="Arial"/>
          <w:b/>
          <w:sz w:val="24"/>
          <w:szCs w:val="24"/>
        </w:rPr>
        <w:t xml:space="preserve">, de </w:t>
      </w:r>
      <w:r w:rsidR="00A41E40" w:rsidRPr="008D1934">
        <w:rPr>
          <w:rFonts w:ascii="Arial" w:hAnsi="Arial" w:cs="Arial"/>
          <w:b/>
          <w:sz w:val="24"/>
          <w:szCs w:val="24"/>
        </w:rPr>
        <w:t>16/10/</w:t>
      </w:r>
      <w:r w:rsidRPr="008D1934">
        <w:rPr>
          <w:rFonts w:ascii="Arial" w:hAnsi="Arial" w:cs="Arial"/>
          <w:b/>
          <w:sz w:val="24"/>
          <w:szCs w:val="24"/>
        </w:rPr>
        <w:t>2007</w:t>
      </w:r>
      <w:r w:rsidR="00A41E40" w:rsidRPr="00FD1390">
        <w:rPr>
          <w:rFonts w:ascii="Arial" w:hAnsi="Arial" w:cs="Arial"/>
          <w:sz w:val="24"/>
          <w:szCs w:val="24"/>
        </w:rPr>
        <w:t xml:space="preserve"> – Regulamenta o Artigo 1° da Lei 5.383 de 17 de março de 1997, de observância obrigatória para a </w:t>
      </w:r>
      <w:r w:rsidR="009214D4">
        <w:rPr>
          <w:rFonts w:ascii="Arial" w:hAnsi="Arial" w:cs="Arial"/>
          <w:sz w:val="24"/>
          <w:szCs w:val="24"/>
        </w:rPr>
        <w:t>Administração Direta e Indireta;</w:t>
      </w:r>
    </w:p>
    <w:p w:rsidR="00665AE9" w:rsidRPr="00FD1390" w:rsidRDefault="00665AE9" w:rsidP="00FD1390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65AE9" w:rsidRDefault="00665AE9" w:rsidP="00FD1390">
      <w:pPr>
        <w:pStyle w:val="PargrafodaList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t>Decreto Estadual nº 1.939-R</w:t>
      </w:r>
      <w:r w:rsidRPr="008D1934">
        <w:rPr>
          <w:rFonts w:ascii="Arial" w:hAnsi="Arial" w:cs="Arial"/>
          <w:b/>
          <w:sz w:val="24"/>
          <w:szCs w:val="24"/>
        </w:rPr>
        <w:t>, de 16/10/2007</w:t>
      </w:r>
      <w:r w:rsidRPr="00FD1390">
        <w:rPr>
          <w:rFonts w:ascii="Arial" w:hAnsi="Arial" w:cs="Arial"/>
          <w:sz w:val="24"/>
          <w:szCs w:val="24"/>
        </w:rPr>
        <w:t xml:space="preserve"> – Regulamenta o artigo 3º, § 2º da Lei Complementar nº 88 de 26 de dezembro de 1996, que estabelece a padronização de minutas de editais de licitação, contratos, acordos e convênios, cuja observância é obrigatória para a </w:t>
      </w:r>
      <w:r w:rsidR="009214D4">
        <w:rPr>
          <w:rFonts w:ascii="Arial" w:hAnsi="Arial" w:cs="Arial"/>
          <w:sz w:val="24"/>
          <w:szCs w:val="24"/>
        </w:rPr>
        <w:t>Administração Direta e Indireta;</w:t>
      </w:r>
    </w:p>
    <w:p w:rsidR="00665AE9" w:rsidRPr="00FD1390" w:rsidRDefault="00665AE9" w:rsidP="00FD1390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65AE9" w:rsidRPr="00FD1390" w:rsidRDefault="00665AE9" w:rsidP="00FD1390">
      <w:pPr>
        <w:pStyle w:val="PargrafodaList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t>Decreto Estadual n.º 2340-R</w:t>
      </w:r>
      <w:r w:rsidRPr="008D1934">
        <w:rPr>
          <w:rFonts w:ascii="Arial" w:hAnsi="Arial" w:cs="Arial"/>
          <w:b/>
          <w:sz w:val="24"/>
          <w:szCs w:val="24"/>
        </w:rPr>
        <w:t>, de 26/082009</w:t>
      </w:r>
      <w:r w:rsidRPr="00FD1390">
        <w:rPr>
          <w:rFonts w:ascii="Arial" w:hAnsi="Arial" w:cs="Arial"/>
          <w:sz w:val="24"/>
          <w:szCs w:val="24"/>
        </w:rPr>
        <w:t xml:space="preserve"> – Institui o Sistema Integrado </w:t>
      </w:r>
      <w:r w:rsidR="009214D4">
        <w:rPr>
          <w:rFonts w:ascii="Arial" w:hAnsi="Arial" w:cs="Arial"/>
          <w:sz w:val="24"/>
          <w:szCs w:val="24"/>
        </w:rPr>
        <w:t>de Gestão Administrativa – SIGA;</w:t>
      </w:r>
    </w:p>
    <w:p w:rsidR="00665AE9" w:rsidRPr="00FD1390" w:rsidRDefault="00665AE9" w:rsidP="00FD13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E10" w:rsidRPr="00FD1390" w:rsidRDefault="00593DB2" w:rsidP="00FD1390">
      <w:pPr>
        <w:pStyle w:val="PargrafodaList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t>Portaria SEGER/PGE/SECONT n.º 049-R</w:t>
      </w:r>
      <w:r w:rsidRPr="008D1934">
        <w:rPr>
          <w:rFonts w:ascii="Arial" w:hAnsi="Arial" w:cs="Arial"/>
          <w:b/>
          <w:sz w:val="24"/>
          <w:szCs w:val="24"/>
        </w:rPr>
        <w:t>, de 24/08/2010</w:t>
      </w:r>
      <w:r w:rsidRPr="00FD1390">
        <w:rPr>
          <w:rFonts w:ascii="Arial" w:hAnsi="Arial" w:cs="Arial"/>
          <w:sz w:val="24"/>
          <w:szCs w:val="24"/>
        </w:rPr>
        <w:t xml:space="preserve"> – </w:t>
      </w:r>
      <w:r w:rsidRPr="00FD1390">
        <w:rPr>
          <w:rFonts w:ascii="Arial" w:hAnsi="Arial" w:cs="Arial"/>
          <w:bCs/>
          <w:iCs/>
          <w:sz w:val="24"/>
          <w:szCs w:val="24"/>
        </w:rPr>
        <w:t>Dispõe sobre normas e procedimentos relativos à gestão de Contratos Administrativos no âmbito da</w:t>
      </w:r>
      <w:r w:rsidR="009214D4">
        <w:rPr>
          <w:rFonts w:ascii="Arial" w:hAnsi="Arial" w:cs="Arial"/>
          <w:bCs/>
          <w:iCs/>
          <w:sz w:val="24"/>
          <w:szCs w:val="24"/>
        </w:rPr>
        <w:t xml:space="preserve"> Administração Pública Estadual;</w:t>
      </w:r>
    </w:p>
    <w:p w:rsidR="00545E10" w:rsidRPr="00FD1390" w:rsidRDefault="00545E10" w:rsidP="00FD1390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5E10" w:rsidRDefault="00622CD0" w:rsidP="00FD1390">
      <w:pPr>
        <w:pStyle w:val="PargrafodaList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lastRenderedPageBreak/>
        <w:t>Resolução CPGE n.º 250</w:t>
      </w:r>
      <w:r w:rsidR="00ED48C5" w:rsidRPr="008D1934">
        <w:rPr>
          <w:rFonts w:ascii="Arial" w:hAnsi="Arial" w:cs="Arial"/>
          <w:b/>
          <w:sz w:val="24"/>
          <w:szCs w:val="24"/>
        </w:rPr>
        <w:t>, de 12/03/</w:t>
      </w:r>
      <w:r w:rsidRPr="008D1934">
        <w:rPr>
          <w:rFonts w:ascii="Arial" w:hAnsi="Arial" w:cs="Arial"/>
          <w:b/>
          <w:sz w:val="24"/>
          <w:szCs w:val="24"/>
        </w:rPr>
        <w:t>2012</w:t>
      </w:r>
      <w:r w:rsidR="00543A23" w:rsidRPr="00FD1390">
        <w:rPr>
          <w:rFonts w:ascii="Arial" w:hAnsi="Arial" w:cs="Arial"/>
          <w:sz w:val="24"/>
          <w:szCs w:val="24"/>
        </w:rPr>
        <w:t xml:space="preserve"> – </w:t>
      </w:r>
      <w:r w:rsidRPr="00FD1390">
        <w:rPr>
          <w:rFonts w:ascii="Arial" w:hAnsi="Arial" w:cs="Arial"/>
          <w:sz w:val="24"/>
          <w:szCs w:val="24"/>
        </w:rPr>
        <w:t>Enunciado CPGE n.º 12: “Competência da Procuradoria Geral do Estado na análise jurídica da fase interna dos procedimentos licitatórios. Utili</w:t>
      </w:r>
      <w:r w:rsidR="0034095C">
        <w:rPr>
          <w:rFonts w:ascii="Arial" w:hAnsi="Arial" w:cs="Arial"/>
          <w:sz w:val="24"/>
          <w:szCs w:val="24"/>
        </w:rPr>
        <w:t>zação das minutas padronizadas”;</w:t>
      </w:r>
    </w:p>
    <w:p w:rsidR="001E7CC6" w:rsidRPr="001E7CC6" w:rsidRDefault="001E7CC6" w:rsidP="001E7CC6">
      <w:pPr>
        <w:pStyle w:val="PargrafodaLista"/>
        <w:rPr>
          <w:rFonts w:ascii="Arial" w:hAnsi="Arial" w:cs="Arial"/>
          <w:sz w:val="24"/>
          <w:szCs w:val="24"/>
        </w:rPr>
      </w:pPr>
    </w:p>
    <w:p w:rsidR="00E2246E" w:rsidRPr="003D655F" w:rsidRDefault="001E7CC6" w:rsidP="00351D45">
      <w:pPr>
        <w:pStyle w:val="PargrafodaLista"/>
        <w:numPr>
          <w:ilvl w:val="0"/>
          <w:numId w:val="7"/>
        </w:numPr>
        <w:spacing w:after="0" w:line="240" w:lineRule="auto"/>
        <w:ind w:left="574" w:hanging="588"/>
        <w:jc w:val="both"/>
        <w:rPr>
          <w:rFonts w:ascii="Arial" w:hAnsi="Arial" w:cs="Arial"/>
          <w:b/>
          <w:sz w:val="24"/>
          <w:szCs w:val="24"/>
        </w:rPr>
      </w:pPr>
      <w:r w:rsidRPr="003D655F">
        <w:rPr>
          <w:rFonts w:ascii="Arial" w:hAnsi="Arial" w:cs="Arial"/>
          <w:b/>
          <w:sz w:val="24"/>
          <w:szCs w:val="24"/>
        </w:rPr>
        <w:t>Parecer</w:t>
      </w:r>
      <w:r w:rsidR="00E2246E" w:rsidRPr="003D655F">
        <w:rPr>
          <w:rFonts w:ascii="Arial" w:hAnsi="Arial" w:cs="Arial"/>
          <w:b/>
          <w:sz w:val="24"/>
          <w:szCs w:val="24"/>
        </w:rPr>
        <w:t xml:space="preserve"> PGE/PCA Nº 00604/2022</w:t>
      </w:r>
      <w:r w:rsidR="003D655F" w:rsidRPr="003D655F">
        <w:rPr>
          <w:rFonts w:ascii="Arial" w:hAnsi="Arial" w:cs="Arial"/>
          <w:b/>
          <w:sz w:val="24"/>
          <w:szCs w:val="24"/>
        </w:rPr>
        <w:t xml:space="preserve">, </w:t>
      </w:r>
      <w:r w:rsidR="00E2246E" w:rsidRPr="003D655F">
        <w:rPr>
          <w:rFonts w:ascii="Arial" w:hAnsi="Arial" w:cs="Arial"/>
          <w:b/>
          <w:sz w:val="24"/>
          <w:szCs w:val="24"/>
        </w:rPr>
        <w:t>Despacho PGE/PCA Nº 00651/2022</w:t>
      </w:r>
      <w:r w:rsidR="003D655F" w:rsidRPr="003D655F">
        <w:rPr>
          <w:rFonts w:ascii="Arial" w:hAnsi="Arial" w:cs="Arial"/>
          <w:b/>
          <w:sz w:val="24"/>
          <w:szCs w:val="24"/>
        </w:rPr>
        <w:t xml:space="preserve"> e </w:t>
      </w:r>
      <w:r w:rsidR="003D655F">
        <w:rPr>
          <w:rFonts w:ascii="Arial" w:hAnsi="Arial" w:cs="Arial"/>
          <w:b/>
          <w:sz w:val="24"/>
          <w:szCs w:val="24"/>
        </w:rPr>
        <w:t>Des</w:t>
      </w:r>
      <w:r w:rsidR="00E2246E" w:rsidRPr="003D655F">
        <w:rPr>
          <w:rFonts w:ascii="Arial" w:hAnsi="Arial" w:cs="Arial"/>
          <w:b/>
          <w:sz w:val="24"/>
          <w:szCs w:val="24"/>
        </w:rPr>
        <w:t>pacho PGE.</w:t>
      </w:r>
    </w:p>
    <w:p w:rsidR="008912D3" w:rsidRPr="00FD1390" w:rsidRDefault="008912D3" w:rsidP="00FD1390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110A9" w:rsidRPr="00FD1390" w:rsidRDefault="00F110A9" w:rsidP="00FD139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D1390">
        <w:rPr>
          <w:rFonts w:ascii="Arial" w:hAnsi="Arial" w:cs="Arial"/>
          <w:b/>
          <w:bCs/>
          <w:sz w:val="24"/>
          <w:szCs w:val="24"/>
        </w:rPr>
        <w:t>DEFINIÇÕES</w:t>
      </w:r>
    </w:p>
    <w:p w:rsidR="001A6330" w:rsidRPr="00FD1390" w:rsidRDefault="001A6330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D1390" w:rsidRPr="00FD1390" w:rsidRDefault="008D1934" w:rsidP="00FD1390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R</w:t>
      </w:r>
      <w:r w:rsidR="00F827BF" w:rsidRPr="00FD1390">
        <w:rPr>
          <w:rFonts w:ascii="Arial" w:hAnsi="Arial" w:cs="Arial"/>
          <w:b/>
          <w:sz w:val="24"/>
          <w:szCs w:val="24"/>
        </w:rPr>
        <w:t>ecebimento</w:t>
      </w:r>
      <w:r w:rsidR="000D4641" w:rsidRPr="00FD1390">
        <w:rPr>
          <w:rFonts w:ascii="Arial" w:hAnsi="Arial" w:cs="Arial"/>
          <w:b/>
          <w:sz w:val="24"/>
          <w:szCs w:val="24"/>
        </w:rPr>
        <w:t xml:space="preserve"> –</w:t>
      </w:r>
      <w:r w:rsidR="00111D15">
        <w:rPr>
          <w:rFonts w:ascii="Arial" w:hAnsi="Arial" w:cs="Arial"/>
          <w:sz w:val="24"/>
          <w:szCs w:val="24"/>
        </w:rPr>
        <w:t xml:space="preserve"> D</w:t>
      </w:r>
      <w:r w:rsidR="00F827BF" w:rsidRPr="00FD1390">
        <w:rPr>
          <w:rFonts w:ascii="Arial" w:hAnsi="Arial" w:cs="Arial"/>
          <w:sz w:val="24"/>
          <w:szCs w:val="24"/>
        </w:rPr>
        <w:t xml:space="preserve">ocumento emitido no momento do recebimento da compra, de obras, serviços e bens, podendo ser provisório ou definitivo, expedido soba a forma de </w:t>
      </w:r>
      <w:r w:rsidR="009214D4">
        <w:rPr>
          <w:rFonts w:ascii="Arial" w:hAnsi="Arial" w:cs="Arial"/>
          <w:sz w:val="24"/>
          <w:szCs w:val="24"/>
        </w:rPr>
        <w:t>termo circunstanciado ou recibo;</w:t>
      </w:r>
    </w:p>
    <w:p w:rsidR="00FD1390" w:rsidRPr="00FD1390" w:rsidRDefault="00FD1390" w:rsidP="00FD1390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FD1390" w:rsidRPr="00FD1390" w:rsidRDefault="005E1014" w:rsidP="00FD1390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t>RECAE</w:t>
      </w:r>
      <w:r w:rsidR="00AD6382" w:rsidRPr="00FD1390">
        <w:rPr>
          <w:rFonts w:ascii="Arial" w:hAnsi="Arial" w:cs="Arial"/>
          <w:b/>
          <w:sz w:val="24"/>
          <w:szCs w:val="24"/>
        </w:rPr>
        <w:t xml:space="preserve"> –</w:t>
      </w:r>
      <w:r w:rsidRPr="00FD1390">
        <w:rPr>
          <w:rFonts w:ascii="Arial" w:hAnsi="Arial" w:cs="Arial"/>
          <w:color w:val="FF0000"/>
          <w:sz w:val="24"/>
          <w:szCs w:val="24"/>
        </w:rPr>
        <w:t xml:space="preserve"> </w:t>
      </w:r>
      <w:r w:rsidR="008C7875" w:rsidRPr="00FD1390">
        <w:rPr>
          <w:rFonts w:ascii="Arial" w:hAnsi="Arial" w:cs="Arial"/>
          <w:sz w:val="24"/>
          <w:szCs w:val="24"/>
        </w:rPr>
        <w:t>Relatório de Comprovação de Adimplência de Encargos</w:t>
      </w:r>
      <w:r w:rsidR="003E6AA2" w:rsidRPr="00FD1390">
        <w:rPr>
          <w:rFonts w:ascii="Arial" w:hAnsi="Arial" w:cs="Arial"/>
          <w:sz w:val="24"/>
          <w:szCs w:val="24"/>
        </w:rPr>
        <w:t xml:space="preserve"> (Anexo</w:t>
      </w:r>
      <w:r w:rsidR="008C7875" w:rsidRPr="00FD1390">
        <w:rPr>
          <w:rFonts w:ascii="Arial" w:hAnsi="Arial" w:cs="Arial"/>
          <w:sz w:val="24"/>
          <w:szCs w:val="24"/>
        </w:rPr>
        <w:t xml:space="preserve"> da Portaria SEGER/PGE/SECONT n.º 049-R, de 24/08/2010</w:t>
      </w:r>
      <w:r w:rsidR="003E6AA2" w:rsidRPr="00FD1390">
        <w:rPr>
          <w:rFonts w:ascii="Arial" w:hAnsi="Arial" w:cs="Arial"/>
          <w:sz w:val="24"/>
          <w:szCs w:val="24"/>
        </w:rPr>
        <w:t>)</w:t>
      </w:r>
      <w:r w:rsidR="009214D4">
        <w:rPr>
          <w:rFonts w:ascii="Arial" w:hAnsi="Arial" w:cs="Arial"/>
          <w:sz w:val="24"/>
          <w:szCs w:val="24"/>
        </w:rPr>
        <w:t>;</w:t>
      </w:r>
    </w:p>
    <w:p w:rsidR="00FD1390" w:rsidRPr="00FD1390" w:rsidRDefault="00FD1390" w:rsidP="00FD1390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4AF" w:rsidRPr="00FD1390" w:rsidRDefault="002654AF" w:rsidP="00FD1390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FD1390">
        <w:rPr>
          <w:rFonts w:ascii="Arial" w:hAnsi="Arial" w:cs="Arial"/>
          <w:b/>
          <w:sz w:val="24"/>
          <w:szCs w:val="24"/>
        </w:rPr>
        <w:t xml:space="preserve">SIGA – </w:t>
      </w:r>
      <w:r w:rsidRPr="00FD1390">
        <w:rPr>
          <w:rFonts w:ascii="Arial" w:hAnsi="Arial" w:cs="Arial"/>
          <w:sz w:val="24"/>
          <w:szCs w:val="24"/>
        </w:rPr>
        <w:t>Sistema Integrado de Gestão Administrativa.</w:t>
      </w:r>
    </w:p>
    <w:p w:rsidR="00CE732D" w:rsidRPr="00FD1390" w:rsidRDefault="00CE732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FD1390" w:rsidRDefault="00F110A9" w:rsidP="00FD139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D139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3D76BC" w:rsidRPr="00FD1390" w:rsidRDefault="003D76B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510CE1" w:rsidRPr="00FD1390" w:rsidRDefault="008E2541" w:rsidP="00FD1390">
      <w:pPr>
        <w:pStyle w:val="PargrafodaLista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Setor f</w:t>
      </w:r>
      <w:r w:rsidR="00510CE1" w:rsidRPr="00FD1390">
        <w:rPr>
          <w:rFonts w:ascii="Arial" w:eastAsia="Times New Roman" w:hAnsi="Arial" w:cs="Arial"/>
          <w:sz w:val="24"/>
          <w:szCs w:val="24"/>
          <w:lang w:eastAsia="pt-BR"/>
        </w:rPr>
        <w:t>inanceiro</w:t>
      </w:r>
      <w:r w:rsidR="009214D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45E10" w:rsidRPr="00FD1390" w:rsidRDefault="00545E10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FD1390" w:rsidRDefault="00F110A9" w:rsidP="00FD139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D1390">
        <w:rPr>
          <w:rFonts w:ascii="Arial" w:hAnsi="Arial" w:cs="Arial"/>
          <w:b/>
          <w:bCs/>
          <w:sz w:val="24"/>
          <w:szCs w:val="24"/>
        </w:rPr>
        <w:t>PROCEDIMENTOS</w:t>
      </w:r>
    </w:p>
    <w:p w:rsidR="00CA38C8" w:rsidRPr="00FD1390" w:rsidRDefault="00CA38C8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0856" w:rsidRPr="00770856" w:rsidRDefault="00770856" w:rsidP="007708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0856">
        <w:rPr>
          <w:rFonts w:ascii="Arial" w:hAnsi="Arial" w:cs="Arial"/>
          <w:b/>
          <w:bCs/>
          <w:sz w:val="24"/>
          <w:szCs w:val="24"/>
        </w:rPr>
        <w:t>Recebimento do Objeto e Pagamento</w:t>
      </w:r>
    </w:p>
    <w:p w:rsidR="00770856" w:rsidRDefault="0077085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2778E" w:rsidRPr="00FD1390" w:rsidRDefault="00BB6BA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1390">
        <w:rPr>
          <w:rFonts w:ascii="Arial" w:hAnsi="Arial" w:cs="Arial"/>
          <w:bCs/>
          <w:sz w:val="24"/>
          <w:szCs w:val="24"/>
        </w:rPr>
        <w:t xml:space="preserve">O </w:t>
      </w:r>
      <w:r w:rsidR="00E77F7A" w:rsidRPr="00FD1390">
        <w:rPr>
          <w:rFonts w:ascii="Arial" w:hAnsi="Arial" w:cs="Arial"/>
          <w:bCs/>
          <w:sz w:val="24"/>
          <w:szCs w:val="24"/>
        </w:rPr>
        <w:t xml:space="preserve">presente </w:t>
      </w:r>
      <w:r w:rsidRPr="00FD1390">
        <w:rPr>
          <w:rFonts w:ascii="Arial" w:hAnsi="Arial" w:cs="Arial"/>
          <w:bCs/>
          <w:sz w:val="24"/>
          <w:szCs w:val="24"/>
        </w:rPr>
        <w:t>processo</w:t>
      </w:r>
      <w:r w:rsidR="00AC4F7B" w:rsidRPr="00FD1390">
        <w:rPr>
          <w:rFonts w:ascii="Arial" w:hAnsi="Arial" w:cs="Arial"/>
          <w:bCs/>
          <w:sz w:val="24"/>
          <w:szCs w:val="24"/>
        </w:rPr>
        <w:t xml:space="preserve"> pressupõe o exercício da fiscalização e as atribuições a ela inerentes, de modo a verificar o cumprimento das obrigações contratuais</w:t>
      </w:r>
      <w:r w:rsidR="00A82B2C" w:rsidRPr="00FD1390">
        <w:rPr>
          <w:rFonts w:ascii="Arial" w:hAnsi="Arial" w:cs="Arial"/>
          <w:bCs/>
          <w:sz w:val="24"/>
          <w:szCs w:val="24"/>
        </w:rPr>
        <w:t xml:space="preserve"> pela contratada</w:t>
      </w:r>
      <w:r w:rsidR="00221D14" w:rsidRPr="00FD1390">
        <w:rPr>
          <w:rFonts w:ascii="Arial" w:hAnsi="Arial" w:cs="Arial"/>
          <w:bCs/>
          <w:sz w:val="24"/>
          <w:szCs w:val="24"/>
        </w:rPr>
        <w:t>.</w:t>
      </w:r>
    </w:p>
    <w:p w:rsidR="00221D14" w:rsidRPr="00FD1390" w:rsidRDefault="00221D1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D3C" w:rsidRPr="00FD1390" w:rsidRDefault="00A95F8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1390">
        <w:rPr>
          <w:rFonts w:ascii="Arial" w:hAnsi="Arial" w:cs="Arial"/>
          <w:bCs/>
          <w:sz w:val="24"/>
          <w:szCs w:val="24"/>
        </w:rPr>
        <w:t>A verificação de conformidade do objeto, seja qual for</w:t>
      </w:r>
      <w:r w:rsidR="003A38E3" w:rsidRPr="00FD1390">
        <w:rPr>
          <w:rFonts w:ascii="Arial" w:hAnsi="Arial" w:cs="Arial"/>
          <w:bCs/>
          <w:sz w:val="24"/>
          <w:szCs w:val="24"/>
        </w:rPr>
        <w:t xml:space="preserve"> o tipo</w:t>
      </w:r>
      <w:r w:rsidRPr="00FD1390">
        <w:rPr>
          <w:rFonts w:ascii="Arial" w:hAnsi="Arial" w:cs="Arial"/>
          <w:bCs/>
          <w:sz w:val="24"/>
          <w:szCs w:val="24"/>
        </w:rPr>
        <w:t xml:space="preserve">, dar-se-á a partir da fiscalização exercida, e dos instrumentos </w:t>
      </w:r>
      <w:r w:rsidR="00221D14" w:rsidRPr="00FD1390">
        <w:rPr>
          <w:rFonts w:ascii="Arial" w:hAnsi="Arial" w:cs="Arial"/>
          <w:bCs/>
          <w:sz w:val="24"/>
          <w:szCs w:val="24"/>
        </w:rPr>
        <w:t>d</w:t>
      </w:r>
      <w:r w:rsidRPr="00FD1390">
        <w:rPr>
          <w:rFonts w:ascii="Arial" w:hAnsi="Arial" w:cs="Arial"/>
          <w:bCs/>
          <w:sz w:val="24"/>
          <w:szCs w:val="24"/>
        </w:rPr>
        <w:t>e controle adotados</w:t>
      </w:r>
      <w:r w:rsidR="009F69BC" w:rsidRPr="00FD1390">
        <w:rPr>
          <w:rFonts w:ascii="Arial" w:hAnsi="Arial" w:cs="Arial"/>
          <w:bCs/>
          <w:sz w:val="24"/>
          <w:szCs w:val="24"/>
        </w:rPr>
        <w:t xml:space="preserve"> pelo gestor, subsidiado pelo fiscal</w:t>
      </w:r>
      <w:r w:rsidR="003A38E3" w:rsidRPr="00FD1390">
        <w:rPr>
          <w:rFonts w:ascii="Arial" w:hAnsi="Arial" w:cs="Arial"/>
          <w:bCs/>
          <w:sz w:val="24"/>
          <w:szCs w:val="24"/>
        </w:rPr>
        <w:t>,</w:t>
      </w:r>
      <w:r w:rsidR="009F69BC" w:rsidRPr="00FD1390">
        <w:rPr>
          <w:rFonts w:ascii="Arial" w:hAnsi="Arial" w:cs="Arial"/>
          <w:bCs/>
          <w:sz w:val="24"/>
          <w:szCs w:val="24"/>
        </w:rPr>
        <w:t xml:space="preserve"> quando for o caso</w:t>
      </w:r>
      <w:r w:rsidRPr="00FD1390">
        <w:rPr>
          <w:rFonts w:ascii="Arial" w:hAnsi="Arial" w:cs="Arial"/>
          <w:bCs/>
          <w:sz w:val="24"/>
          <w:szCs w:val="24"/>
        </w:rPr>
        <w:t xml:space="preserve">. </w:t>
      </w:r>
    </w:p>
    <w:p w:rsidR="00031D7B" w:rsidRPr="00FD1390" w:rsidRDefault="00031D7B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31D7B" w:rsidRPr="00FD1390" w:rsidRDefault="00031D7B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Será necessário observar o processo, considerando a diversidade de objetos contratados pela Administração: bens de pronta entrega; bens com entrega parcelada; serviço executado em parcela única; serviço ou tarefa executado em várias parcelas; serviço continuado; obra ou serviço de engenharia e outros.</w:t>
      </w:r>
    </w:p>
    <w:p w:rsidR="00221D14" w:rsidRPr="00FD1390" w:rsidRDefault="00221D1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21D14" w:rsidRDefault="00823709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1390">
        <w:rPr>
          <w:rFonts w:ascii="Arial" w:hAnsi="Arial" w:cs="Arial"/>
          <w:bCs/>
          <w:sz w:val="24"/>
          <w:szCs w:val="24"/>
        </w:rPr>
        <w:t>Portanto, e</w:t>
      </w:r>
      <w:r w:rsidR="00221D14" w:rsidRPr="00FD1390">
        <w:rPr>
          <w:rFonts w:ascii="Arial" w:hAnsi="Arial" w:cs="Arial"/>
          <w:bCs/>
          <w:sz w:val="24"/>
          <w:szCs w:val="24"/>
        </w:rPr>
        <w:t xml:space="preserve">xecutado o instrumento contratual, </w:t>
      </w:r>
      <w:r w:rsidR="009F69BC" w:rsidRPr="00FD1390">
        <w:rPr>
          <w:rFonts w:ascii="Arial" w:hAnsi="Arial" w:cs="Arial"/>
          <w:bCs/>
          <w:sz w:val="24"/>
          <w:szCs w:val="24"/>
        </w:rPr>
        <w:t>no todo</w:t>
      </w:r>
      <w:r w:rsidR="00221D14" w:rsidRPr="00FD1390">
        <w:rPr>
          <w:rFonts w:ascii="Arial" w:hAnsi="Arial" w:cs="Arial"/>
          <w:bCs/>
          <w:sz w:val="24"/>
          <w:szCs w:val="24"/>
        </w:rPr>
        <w:t xml:space="preserve"> ou em parte, inicia-se o processo</w:t>
      </w:r>
      <w:r w:rsidR="009F69BC" w:rsidRPr="00FD1390">
        <w:rPr>
          <w:rFonts w:ascii="Arial" w:hAnsi="Arial" w:cs="Arial"/>
          <w:bCs/>
          <w:sz w:val="24"/>
          <w:szCs w:val="24"/>
        </w:rPr>
        <w:t xml:space="preserve"> de recebimento</w:t>
      </w:r>
      <w:r w:rsidR="00A82B2C" w:rsidRPr="00FD1390">
        <w:rPr>
          <w:rFonts w:ascii="Arial" w:hAnsi="Arial" w:cs="Arial"/>
          <w:bCs/>
          <w:sz w:val="24"/>
          <w:szCs w:val="24"/>
        </w:rPr>
        <w:t xml:space="preserve"> seguido de pagamento</w:t>
      </w:r>
      <w:r w:rsidR="00221D14" w:rsidRPr="00FD1390">
        <w:rPr>
          <w:rFonts w:ascii="Arial" w:hAnsi="Arial" w:cs="Arial"/>
          <w:bCs/>
          <w:sz w:val="24"/>
          <w:szCs w:val="24"/>
        </w:rPr>
        <w:t>, cabendo aos responsáveis o cumprimento d</w:t>
      </w:r>
      <w:r w:rsidR="00070BC6">
        <w:rPr>
          <w:rFonts w:ascii="Arial" w:hAnsi="Arial" w:cs="Arial"/>
          <w:bCs/>
          <w:sz w:val="24"/>
          <w:szCs w:val="24"/>
        </w:rPr>
        <w:t>o</w:t>
      </w:r>
      <w:r w:rsidR="00221D14" w:rsidRPr="00FD1390">
        <w:rPr>
          <w:rFonts w:ascii="Arial" w:hAnsi="Arial" w:cs="Arial"/>
          <w:bCs/>
          <w:sz w:val="24"/>
          <w:szCs w:val="24"/>
        </w:rPr>
        <w:t xml:space="preserve">s seguintes </w:t>
      </w:r>
      <w:proofErr w:type="spellStart"/>
      <w:r w:rsidR="00070BC6">
        <w:rPr>
          <w:rFonts w:ascii="Arial" w:hAnsi="Arial" w:cs="Arial"/>
          <w:bCs/>
          <w:sz w:val="24"/>
          <w:szCs w:val="24"/>
        </w:rPr>
        <w:t>subprocessos</w:t>
      </w:r>
      <w:proofErr w:type="spellEnd"/>
      <w:r w:rsidR="00221D14" w:rsidRPr="00FD1390">
        <w:rPr>
          <w:rFonts w:ascii="Arial" w:hAnsi="Arial" w:cs="Arial"/>
          <w:bCs/>
          <w:sz w:val="24"/>
          <w:szCs w:val="24"/>
        </w:rPr>
        <w:t xml:space="preserve">:  </w:t>
      </w:r>
    </w:p>
    <w:p w:rsidR="00F61097" w:rsidRDefault="00F6109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61097" w:rsidRPr="00F61097" w:rsidRDefault="00F6109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1097">
        <w:rPr>
          <w:rFonts w:ascii="Arial" w:hAnsi="Arial" w:cs="Arial"/>
          <w:b/>
          <w:bCs/>
          <w:sz w:val="24"/>
          <w:szCs w:val="24"/>
        </w:rPr>
        <w:t xml:space="preserve">SB01 </w:t>
      </w:r>
      <w:r w:rsidR="00872C19">
        <w:rPr>
          <w:rFonts w:ascii="Arial" w:hAnsi="Arial" w:cs="Arial"/>
          <w:b/>
          <w:bCs/>
          <w:sz w:val="24"/>
          <w:szCs w:val="24"/>
        </w:rPr>
        <w:t>-</w:t>
      </w:r>
      <w:r w:rsidRPr="00F61097">
        <w:rPr>
          <w:rFonts w:ascii="Arial" w:hAnsi="Arial" w:cs="Arial"/>
          <w:b/>
          <w:bCs/>
          <w:sz w:val="24"/>
          <w:szCs w:val="24"/>
        </w:rPr>
        <w:t xml:space="preserve"> Recebimento do Objeto</w:t>
      </w:r>
    </w:p>
    <w:p w:rsidR="00F61097" w:rsidRPr="00F61097" w:rsidRDefault="00F6109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61097" w:rsidRPr="00F61097" w:rsidRDefault="00F6109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1097">
        <w:rPr>
          <w:rFonts w:ascii="Arial" w:hAnsi="Arial" w:cs="Arial"/>
          <w:b/>
          <w:bCs/>
          <w:sz w:val="24"/>
          <w:szCs w:val="24"/>
        </w:rPr>
        <w:t>SB02 - Pagamento</w:t>
      </w:r>
    </w:p>
    <w:p w:rsidR="00111D15" w:rsidRDefault="00B360A8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21BCD302" wp14:editId="5E019455">
            <wp:extent cx="5760020" cy="2313802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609" b="21445"/>
                    <a:stretch/>
                  </pic:blipFill>
                  <pic:spPr bwMode="auto">
                    <a:xfrm>
                      <a:off x="0" y="0"/>
                      <a:ext cx="5760085" cy="2313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856" w:rsidRDefault="0077085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31D7B" w:rsidRPr="000907A3" w:rsidRDefault="00031D7B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eastAsia="pt-BR"/>
        </w:rPr>
      </w:pPr>
      <w:r w:rsidRPr="000907A3">
        <w:rPr>
          <w:rFonts w:ascii="Arial" w:hAnsi="Arial" w:cs="Arial"/>
          <w:b/>
          <w:bCs/>
          <w:sz w:val="24"/>
          <w:szCs w:val="24"/>
        </w:rPr>
        <w:t>SB01</w:t>
      </w:r>
      <w:r w:rsidR="00683787">
        <w:rPr>
          <w:rFonts w:ascii="Arial" w:hAnsi="Arial" w:cs="Arial"/>
          <w:b/>
          <w:bCs/>
          <w:sz w:val="24"/>
          <w:szCs w:val="24"/>
        </w:rPr>
        <w:t xml:space="preserve"> -</w:t>
      </w:r>
      <w:r w:rsidRPr="000907A3">
        <w:rPr>
          <w:rFonts w:ascii="Arial" w:hAnsi="Arial" w:cs="Arial"/>
          <w:b/>
          <w:bCs/>
          <w:sz w:val="24"/>
          <w:szCs w:val="24"/>
        </w:rPr>
        <w:t xml:space="preserve"> Recebimento do Objeto</w:t>
      </w:r>
      <w:r w:rsidR="00190009" w:rsidRPr="000907A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21D14" w:rsidRPr="00FD1390" w:rsidRDefault="00221D1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97156" w:rsidRPr="00FD1390" w:rsidRDefault="0077072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T01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247227" w:rsidRPr="00FD1390">
        <w:rPr>
          <w:rFonts w:ascii="Arial" w:hAnsi="Arial" w:cs="Arial"/>
          <w:sz w:val="24"/>
          <w:szCs w:val="24"/>
        </w:rPr>
        <w:t>E</w:t>
      </w:r>
      <w:r w:rsidR="00AC1614">
        <w:rPr>
          <w:rFonts w:ascii="Arial" w:hAnsi="Arial" w:cs="Arial"/>
          <w:sz w:val="24"/>
          <w:szCs w:val="24"/>
        </w:rPr>
        <w:t>ntregar o</w:t>
      </w:r>
      <w:r w:rsidR="00247227" w:rsidRPr="00FD1390">
        <w:rPr>
          <w:rFonts w:ascii="Arial" w:hAnsi="Arial" w:cs="Arial"/>
          <w:sz w:val="24"/>
          <w:szCs w:val="24"/>
        </w:rPr>
        <w:t>bjeto</w:t>
      </w:r>
      <w:r w:rsidR="000A7AB8" w:rsidRPr="00FD1390">
        <w:rPr>
          <w:rFonts w:ascii="Arial" w:hAnsi="Arial" w:cs="Arial"/>
          <w:sz w:val="24"/>
          <w:szCs w:val="24"/>
        </w:rPr>
        <w:t xml:space="preserve"> ou </w:t>
      </w:r>
      <w:r w:rsidR="00AC1614">
        <w:rPr>
          <w:rFonts w:ascii="Arial" w:hAnsi="Arial" w:cs="Arial"/>
          <w:sz w:val="24"/>
          <w:szCs w:val="24"/>
        </w:rPr>
        <w:t>c</w:t>
      </w:r>
      <w:r w:rsidR="00247227" w:rsidRPr="00FD1390">
        <w:rPr>
          <w:rFonts w:ascii="Arial" w:hAnsi="Arial" w:cs="Arial"/>
          <w:sz w:val="24"/>
          <w:szCs w:val="24"/>
        </w:rPr>
        <w:t>omunicar a conclusão de parcela do objeto</w:t>
      </w:r>
    </w:p>
    <w:p w:rsidR="00190009" w:rsidRPr="00FD1390" w:rsidRDefault="00190009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1014" w:rsidRPr="00FD1390" w:rsidRDefault="005E101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O contratado promoverá a entrega do objeto ou comunicará sua conclusão, a depender de sua natureza, juntamente</w:t>
      </w:r>
      <w:r w:rsidR="00190009" w:rsidRPr="00FD1390">
        <w:rPr>
          <w:rFonts w:ascii="Arial" w:hAnsi="Arial" w:cs="Arial"/>
          <w:sz w:val="24"/>
          <w:szCs w:val="24"/>
        </w:rPr>
        <w:t xml:space="preserve"> com outros documentos necessários </w:t>
      </w:r>
      <w:r w:rsidRPr="00FD1390">
        <w:rPr>
          <w:rFonts w:ascii="Arial" w:hAnsi="Arial" w:cs="Arial"/>
          <w:sz w:val="24"/>
          <w:szCs w:val="24"/>
        </w:rPr>
        <w:t>a com</w:t>
      </w:r>
      <w:r w:rsidR="00190009" w:rsidRPr="00FD1390">
        <w:rPr>
          <w:rFonts w:ascii="Arial" w:hAnsi="Arial" w:cs="Arial"/>
          <w:sz w:val="24"/>
          <w:szCs w:val="24"/>
        </w:rPr>
        <w:t xml:space="preserve">provar </w:t>
      </w:r>
      <w:r w:rsidRPr="00FD1390">
        <w:rPr>
          <w:rFonts w:ascii="Arial" w:hAnsi="Arial" w:cs="Arial"/>
          <w:sz w:val="24"/>
          <w:szCs w:val="24"/>
        </w:rPr>
        <w:t>su</w:t>
      </w:r>
      <w:r w:rsidR="00190009" w:rsidRPr="00FD1390">
        <w:rPr>
          <w:rFonts w:ascii="Arial" w:hAnsi="Arial" w:cs="Arial"/>
          <w:sz w:val="24"/>
          <w:szCs w:val="24"/>
        </w:rPr>
        <w:t>a execução</w:t>
      </w:r>
      <w:r w:rsidRPr="00FD1390">
        <w:rPr>
          <w:rFonts w:ascii="Arial" w:hAnsi="Arial" w:cs="Arial"/>
          <w:sz w:val="24"/>
          <w:szCs w:val="24"/>
        </w:rPr>
        <w:t>, conforme previsão no</w:t>
      </w:r>
      <w:r w:rsidR="003E6AA2" w:rsidRPr="00FD1390">
        <w:rPr>
          <w:rFonts w:ascii="Arial" w:hAnsi="Arial" w:cs="Arial"/>
          <w:sz w:val="24"/>
          <w:szCs w:val="24"/>
        </w:rPr>
        <w:t>s</w:t>
      </w:r>
      <w:r w:rsidRPr="00FD1390">
        <w:rPr>
          <w:rFonts w:ascii="Arial" w:hAnsi="Arial" w:cs="Arial"/>
          <w:sz w:val="24"/>
          <w:szCs w:val="24"/>
        </w:rPr>
        <w:t xml:space="preserve"> instru</w:t>
      </w:r>
      <w:r w:rsidR="00641AEA" w:rsidRPr="00FD1390">
        <w:rPr>
          <w:rFonts w:ascii="Arial" w:hAnsi="Arial" w:cs="Arial"/>
          <w:sz w:val="24"/>
          <w:szCs w:val="24"/>
        </w:rPr>
        <w:t>mento</w:t>
      </w:r>
      <w:r w:rsidR="003E6AA2" w:rsidRPr="00FD1390">
        <w:rPr>
          <w:rFonts w:ascii="Arial" w:hAnsi="Arial" w:cs="Arial"/>
          <w:sz w:val="24"/>
          <w:szCs w:val="24"/>
        </w:rPr>
        <w:t>s</w:t>
      </w:r>
      <w:r w:rsidR="00641AEA" w:rsidRPr="00FD1390">
        <w:rPr>
          <w:rFonts w:ascii="Arial" w:hAnsi="Arial" w:cs="Arial"/>
          <w:sz w:val="24"/>
          <w:szCs w:val="24"/>
        </w:rPr>
        <w:t xml:space="preserve"> convocatório e contratual.</w:t>
      </w:r>
      <w:r w:rsidRPr="00FD1390">
        <w:rPr>
          <w:rFonts w:ascii="Arial" w:hAnsi="Arial" w:cs="Arial"/>
          <w:sz w:val="24"/>
          <w:szCs w:val="24"/>
        </w:rPr>
        <w:t xml:space="preserve"> </w:t>
      </w:r>
    </w:p>
    <w:p w:rsidR="005E1014" w:rsidRPr="00FD1390" w:rsidRDefault="005E101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D139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B10B4" w:rsidRPr="00FD1390" w:rsidRDefault="0039602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T02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2B10B4" w:rsidRPr="00FD1390">
        <w:rPr>
          <w:rFonts w:ascii="Arial" w:hAnsi="Arial" w:cs="Arial"/>
          <w:sz w:val="24"/>
          <w:szCs w:val="24"/>
        </w:rPr>
        <w:t>Verificar tipo de contratação</w:t>
      </w:r>
    </w:p>
    <w:p w:rsidR="003E6AA2" w:rsidRPr="00FD1390" w:rsidRDefault="003E6AA2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AA2" w:rsidRPr="00FD1390" w:rsidRDefault="003E6AA2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Nos termos do artigo 73 da Lei 8.666/93, bem como do artigo 66 da Portaria SEGER/PGE/SECONT Nº 049-R, de 24/08/2010.</w:t>
      </w:r>
    </w:p>
    <w:p w:rsidR="000D4641" w:rsidRPr="00FD1390" w:rsidRDefault="000D464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4641" w:rsidRPr="00FD1390" w:rsidRDefault="000D464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Caso </w:t>
      </w:r>
      <w:r w:rsidR="004701E1">
        <w:rPr>
          <w:rFonts w:ascii="Arial" w:hAnsi="Arial" w:cs="Arial"/>
          <w:sz w:val="24"/>
          <w:szCs w:val="24"/>
        </w:rPr>
        <w:t>trate de compras, locação de equipamentos, obras e s</w:t>
      </w:r>
      <w:r w:rsidR="0065142E" w:rsidRPr="00FD1390">
        <w:rPr>
          <w:rFonts w:ascii="Arial" w:hAnsi="Arial" w:cs="Arial"/>
          <w:sz w:val="24"/>
          <w:szCs w:val="24"/>
        </w:rPr>
        <w:t>erviços</w:t>
      </w:r>
      <w:r w:rsidRPr="00FD1390">
        <w:rPr>
          <w:rFonts w:ascii="Arial" w:hAnsi="Arial" w:cs="Arial"/>
          <w:sz w:val="24"/>
          <w:szCs w:val="24"/>
        </w:rPr>
        <w:t xml:space="preserve"> segue para T03, </w:t>
      </w:r>
      <w:r w:rsidR="0065142E" w:rsidRPr="00FD1390">
        <w:rPr>
          <w:rFonts w:ascii="Arial" w:hAnsi="Arial" w:cs="Arial"/>
          <w:sz w:val="24"/>
          <w:szCs w:val="24"/>
        </w:rPr>
        <w:t xml:space="preserve">e </w:t>
      </w:r>
      <w:r w:rsidRPr="00FD1390">
        <w:rPr>
          <w:rFonts w:ascii="Arial" w:hAnsi="Arial" w:cs="Arial"/>
          <w:sz w:val="24"/>
          <w:szCs w:val="24"/>
        </w:rPr>
        <w:t>se for</w:t>
      </w:r>
      <w:r w:rsidR="004701E1">
        <w:rPr>
          <w:rFonts w:ascii="Arial" w:hAnsi="Arial" w:cs="Arial"/>
          <w:sz w:val="24"/>
          <w:szCs w:val="24"/>
        </w:rPr>
        <w:t xml:space="preserve"> gêneros perecíveis, alimentação preparada, serviços p</w:t>
      </w:r>
      <w:r w:rsidR="0065142E" w:rsidRPr="00FD1390">
        <w:rPr>
          <w:rFonts w:ascii="Arial" w:hAnsi="Arial" w:cs="Arial"/>
          <w:sz w:val="24"/>
          <w:szCs w:val="24"/>
        </w:rPr>
        <w:t>rofissionais e obras e serviços até o limite para compras e serviços que não sejam de engenharia,</w:t>
      </w:r>
      <w:r w:rsidRPr="00FD1390">
        <w:rPr>
          <w:rFonts w:ascii="Arial" w:hAnsi="Arial" w:cs="Arial"/>
          <w:sz w:val="24"/>
          <w:szCs w:val="24"/>
        </w:rPr>
        <w:t xml:space="preserve"> segue para T0</w:t>
      </w:r>
      <w:r w:rsidR="003B073F">
        <w:rPr>
          <w:rFonts w:ascii="Arial" w:hAnsi="Arial" w:cs="Arial"/>
          <w:sz w:val="24"/>
          <w:szCs w:val="24"/>
        </w:rPr>
        <w:t>6</w:t>
      </w:r>
      <w:r w:rsidRPr="00FD1390">
        <w:rPr>
          <w:rFonts w:ascii="Arial" w:hAnsi="Arial" w:cs="Arial"/>
          <w:sz w:val="24"/>
          <w:szCs w:val="24"/>
        </w:rPr>
        <w:t>.</w:t>
      </w:r>
    </w:p>
    <w:p w:rsidR="003E6AA2" w:rsidRPr="00FD1390" w:rsidRDefault="003E6AA2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68E" w:rsidRPr="00FD1390" w:rsidRDefault="001A79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T03 – </w:t>
      </w:r>
      <w:r w:rsidR="004E568E" w:rsidRPr="00FD1390">
        <w:rPr>
          <w:rFonts w:ascii="Arial" w:hAnsi="Arial" w:cs="Arial"/>
          <w:sz w:val="24"/>
          <w:szCs w:val="24"/>
        </w:rPr>
        <w:t>R</w:t>
      </w:r>
      <w:r w:rsidR="00AC1614">
        <w:rPr>
          <w:rFonts w:ascii="Arial" w:hAnsi="Arial" w:cs="Arial"/>
          <w:sz w:val="24"/>
          <w:szCs w:val="24"/>
        </w:rPr>
        <w:t>ealizar o recebimento p</w:t>
      </w:r>
      <w:r w:rsidR="004E568E" w:rsidRPr="00FD1390">
        <w:rPr>
          <w:rFonts w:ascii="Arial" w:hAnsi="Arial" w:cs="Arial"/>
          <w:sz w:val="24"/>
          <w:szCs w:val="24"/>
        </w:rPr>
        <w:t>rovisório</w:t>
      </w:r>
    </w:p>
    <w:p w:rsidR="004E568E" w:rsidRPr="00FD1390" w:rsidRDefault="004E568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68E" w:rsidRPr="00FD1390" w:rsidRDefault="004E568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Para aquisição/fornecimento de bens e locação de equipamentos, é realizado no ato da entrega, quando o instrumento contratual não previr outro prazo.</w:t>
      </w:r>
      <w:r w:rsidR="00D6195E" w:rsidRPr="00FD1390">
        <w:rPr>
          <w:rFonts w:ascii="Arial" w:hAnsi="Arial" w:cs="Arial"/>
          <w:sz w:val="24"/>
          <w:szCs w:val="24"/>
        </w:rPr>
        <w:t xml:space="preserve"> </w:t>
      </w:r>
      <w:r w:rsidRPr="00FD1390">
        <w:rPr>
          <w:rFonts w:ascii="Arial" w:hAnsi="Arial" w:cs="Arial"/>
          <w:sz w:val="24"/>
          <w:szCs w:val="24"/>
        </w:rPr>
        <w:t>A</w:t>
      </w:r>
      <w:r w:rsidR="00D6195E" w:rsidRPr="00FD1390">
        <w:rPr>
          <w:rFonts w:ascii="Arial" w:hAnsi="Arial" w:cs="Arial"/>
          <w:sz w:val="24"/>
          <w:szCs w:val="24"/>
        </w:rPr>
        <w:t xml:space="preserve"> regra é que seja </w:t>
      </w:r>
      <w:r w:rsidR="001F3718" w:rsidRPr="00FD1390">
        <w:rPr>
          <w:rFonts w:ascii="Arial" w:hAnsi="Arial" w:cs="Arial"/>
          <w:sz w:val="24"/>
          <w:szCs w:val="24"/>
        </w:rPr>
        <w:t xml:space="preserve">mediante </w:t>
      </w:r>
      <w:r w:rsidR="001F3718" w:rsidRPr="004701E1">
        <w:rPr>
          <w:rFonts w:ascii="Arial" w:hAnsi="Arial" w:cs="Arial"/>
          <w:b/>
          <w:sz w:val="24"/>
          <w:szCs w:val="24"/>
        </w:rPr>
        <w:t>r</w:t>
      </w:r>
      <w:r w:rsidRPr="004701E1">
        <w:rPr>
          <w:rFonts w:ascii="Arial" w:hAnsi="Arial" w:cs="Arial"/>
          <w:b/>
          <w:sz w:val="24"/>
          <w:szCs w:val="24"/>
        </w:rPr>
        <w:t>ecibo</w:t>
      </w:r>
      <w:r w:rsidRPr="00FD1390">
        <w:rPr>
          <w:rFonts w:ascii="Arial" w:hAnsi="Arial" w:cs="Arial"/>
          <w:sz w:val="24"/>
          <w:szCs w:val="24"/>
        </w:rPr>
        <w:t xml:space="preserve">, todavia será feito mediante </w:t>
      </w:r>
      <w:r w:rsidRPr="004701E1">
        <w:rPr>
          <w:rFonts w:ascii="Arial" w:hAnsi="Arial" w:cs="Arial"/>
          <w:b/>
          <w:sz w:val="24"/>
          <w:szCs w:val="24"/>
        </w:rPr>
        <w:t>termo circunstanciado</w:t>
      </w:r>
      <w:r w:rsidRPr="00FD1390">
        <w:rPr>
          <w:rFonts w:ascii="Arial" w:hAnsi="Arial" w:cs="Arial"/>
          <w:sz w:val="24"/>
          <w:szCs w:val="24"/>
        </w:rPr>
        <w:t xml:space="preserve"> quando se tratar de aquisição de equipamentos de grande vulto (</w:t>
      </w:r>
      <w:r w:rsidR="00D6195E" w:rsidRPr="00FD1390">
        <w:rPr>
          <w:rFonts w:ascii="Arial" w:hAnsi="Arial" w:cs="Arial"/>
          <w:sz w:val="24"/>
          <w:szCs w:val="24"/>
        </w:rPr>
        <w:t xml:space="preserve">aquele cujo </w:t>
      </w:r>
      <w:r w:rsidRPr="00FD1390">
        <w:rPr>
          <w:rFonts w:ascii="Arial" w:hAnsi="Arial" w:cs="Arial"/>
          <w:sz w:val="24"/>
          <w:szCs w:val="24"/>
        </w:rPr>
        <w:t xml:space="preserve">valor </w:t>
      </w:r>
      <w:r w:rsidR="00D6195E" w:rsidRPr="00FD1390">
        <w:rPr>
          <w:rFonts w:ascii="Arial" w:hAnsi="Arial" w:cs="Arial"/>
          <w:sz w:val="24"/>
          <w:szCs w:val="24"/>
        </w:rPr>
        <w:t xml:space="preserve">é </w:t>
      </w:r>
      <w:r w:rsidRPr="00FD1390">
        <w:rPr>
          <w:rFonts w:ascii="Arial" w:hAnsi="Arial" w:cs="Arial"/>
          <w:sz w:val="24"/>
          <w:szCs w:val="24"/>
        </w:rPr>
        <w:t>superior a 25 vezes o limite estabelecido na alínea “c” do incido I do artigo 23 da Lei 8.666/93).</w:t>
      </w:r>
      <w:r w:rsidR="00D6195E" w:rsidRPr="00FD1390">
        <w:rPr>
          <w:rFonts w:ascii="Arial" w:hAnsi="Arial" w:cs="Arial"/>
          <w:sz w:val="24"/>
          <w:szCs w:val="24"/>
        </w:rPr>
        <w:t xml:space="preserve"> </w:t>
      </w:r>
    </w:p>
    <w:p w:rsidR="004E568E" w:rsidRPr="00FD1390" w:rsidRDefault="004E568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279" w:rsidRPr="00FD1390" w:rsidRDefault="005E101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O</w:t>
      </w:r>
      <w:r w:rsidR="00872279" w:rsidRPr="00FD1390">
        <w:rPr>
          <w:rFonts w:ascii="Arial" w:hAnsi="Arial" w:cs="Arial"/>
          <w:sz w:val="24"/>
          <w:szCs w:val="24"/>
        </w:rPr>
        <w:t xml:space="preserve"> recebimento provisório pode ser dispensado, </w:t>
      </w:r>
      <w:r w:rsidR="00C85DF6" w:rsidRPr="00FD1390">
        <w:rPr>
          <w:rFonts w:ascii="Arial" w:hAnsi="Arial" w:cs="Arial"/>
          <w:sz w:val="24"/>
          <w:szCs w:val="24"/>
        </w:rPr>
        <w:t xml:space="preserve">fazendo-se apenas </w:t>
      </w:r>
      <w:r w:rsidR="00872279" w:rsidRPr="00FD1390">
        <w:rPr>
          <w:rFonts w:ascii="Arial" w:hAnsi="Arial" w:cs="Arial"/>
          <w:sz w:val="24"/>
          <w:szCs w:val="24"/>
        </w:rPr>
        <w:t>o definitivo</w:t>
      </w:r>
      <w:r w:rsidR="002B10B4" w:rsidRPr="00FD1390">
        <w:rPr>
          <w:rFonts w:ascii="Arial" w:hAnsi="Arial" w:cs="Arial"/>
          <w:sz w:val="24"/>
          <w:szCs w:val="24"/>
        </w:rPr>
        <w:t xml:space="preserve">, </w:t>
      </w:r>
      <w:r w:rsidR="002B10B4" w:rsidRPr="004701E1">
        <w:rPr>
          <w:rFonts w:ascii="Arial" w:hAnsi="Arial" w:cs="Arial"/>
          <w:sz w:val="24"/>
          <w:szCs w:val="24"/>
        </w:rPr>
        <w:t>m</w:t>
      </w:r>
      <w:r w:rsidR="000F5A88" w:rsidRPr="004701E1">
        <w:rPr>
          <w:rFonts w:ascii="Arial" w:hAnsi="Arial" w:cs="Arial"/>
          <w:sz w:val="24"/>
          <w:szCs w:val="24"/>
        </w:rPr>
        <w:t xml:space="preserve">ediante </w:t>
      </w:r>
      <w:r w:rsidR="000F5A88" w:rsidRPr="004701E1">
        <w:rPr>
          <w:rFonts w:ascii="Arial" w:hAnsi="Arial" w:cs="Arial"/>
          <w:b/>
          <w:sz w:val="24"/>
          <w:szCs w:val="24"/>
        </w:rPr>
        <w:t>recibo</w:t>
      </w:r>
      <w:r w:rsidR="00E8088E" w:rsidRPr="00FD1390">
        <w:rPr>
          <w:rFonts w:ascii="Arial" w:hAnsi="Arial" w:cs="Arial"/>
          <w:sz w:val="24"/>
          <w:szCs w:val="24"/>
        </w:rPr>
        <w:t xml:space="preserve">, quando </w:t>
      </w:r>
      <w:r w:rsidR="00C85DF6" w:rsidRPr="00FD1390">
        <w:rPr>
          <w:rFonts w:ascii="Arial" w:hAnsi="Arial" w:cs="Arial"/>
          <w:sz w:val="24"/>
          <w:szCs w:val="24"/>
        </w:rPr>
        <w:t>o objeto contratado for: gêneros perecíveis e alimentação preparada; serviços profissionais; e obras e serviços, que não sejam de engenharia, até o limite previsto para compras e serviços no artigo 23, II, alínea “a”, da Lei 8.666/93 e, desde que não se componham de aparelhos, equipamentos e instalações sujeitos à verificação de funcionamento e produtividade</w:t>
      </w:r>
      <w:r w:rsidRPr="00FD1390">
        <w:rPr>
          <w:rFonts w:ascii="Arial" w:hAnsi="Arial" w:cs="Arial"/>
          <w:sz w:val="24"/>
          <w:szCs w:val="24"/>
        </w:rPr>
        <w:t>, nos termos do artigo 67 da Portaria SEGER/PGE</w:t>
      </w:r>
      <w:r w:rsidR="00510CE1" w:rsidRPr="00FD1390">
        <w:rPr>
          <w:rFonts w:ascii="Arial" w:hAnsi="Arial" w:cs="Arial"/>
          <w:sz w:val="24"/>
          <w:szCs w:val="24"/>
        </w:rPr>
        <w:t>/SECONT Nº 049-R, de 24/08/2010.</w:t>
      </w:r>
    </w:p>
    <w:p w:rsidR="005C5AB4" w:rsidRPr="00FD1390" w:rsidRDefault="005C5AB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4917" w:rsidRPr="00FD1390" w:rsidRDefault="00FE491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lastRenderedPageBreak/>
        <w:t xml:space="preserve">Quando se tratar de obras e serviços será feito mediante </w:t>
      </w:r>
      <w:r w:rsidRPr="004701E1">
        <w:rPr>
          <w:rFonts w:ascii="Arial" w:hAnsi="Arial" w:cs="Arial"/>
          <w:b/>
          <w:sz w:val="24"/>
          <w:szCs w:val="24"/>
        </w:rPr>
        <w:t>termo circunstanciado</w:t>
      </w:r>
      <w:r w:rsidRPr="00FD1390">
        <w:rPr>
          <w:rFonts w:ascii="Arial" w:hAnsi="Arial" w:cs="Arial"/>
          <w:sz w:val="24"/>
          <w:szCs w:val="24"/>
        </w:rPr>
        <w:t xml:space="preserve">, no prazo previsto no instrumento contratual, limitado a 15 (quinze) dias da comunicação escrita do contratado, nos termos do </w:t>
      </w:r>
      <w:r w:rsidR="003F5944" w:rsidRPr="00FD1390">
        <w:rPr>
          <w:rFonts w:ascii="Arial" w:hAnsi="Arial" w:cs="Arial"/>
          <w:sz w:val="24"/>
          <w:szCs w:val="24"/>
        </w:rPr>
        <w:t xml:space="preserve">artigo 73, I, “a”, da Lei 8.666/93 e </w:t>
      </w:r>
      <w:r w:rsidRPr="00FD1390">
        <w:rPr>
          <w:rFonts w:ascii="Arial" w:hAnsi="Arial" w:cs="Arial"/>
          <w:sz w:val="24"/>
          <w:szCs w:val="24"/>
        </w:rPr>
        <w:t>artigo 66, I da Portaria SEGER/PGE/SECONT Nº 049-R, de 24/08/2010.</w:t>
      </w:r>
    </w:p>
    <w:p w:rsidR="00641AEA" w:rsidRPr="00FD1390" w:rsidRDefault="00641AE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019F" w:rsidRDefault="004C23D5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Cabe destacar que o</w:t>
      </w:r>
      <w:r w:rsidR="00AB019F" w:rsidRPr="00FD1390">
        <w:rPr>
          <w:rFonts w:ascii="Arial" w:hAnsi="Arial" w:cs="Arial"/>
          <w:sz w:val="24"/>
          <w:szCs w:val="24"/>
        </w:rPr>
        <w:t xml:space="preserve"> recebimento, </w:t>
      </w:r>
      <w:r w:rsidR="000D4641" w:rsidRPr="00FD1390">
        <w:rPr>
          <w:rFonts w:ascii="Arial" w:hAnsi="Arial" w:cs="Arial"/>
          <w:sz w:val="24"/>
          <w:szCs w:val="24"/>
        </w:rPr>
        <w:t>quando o objeto for material que deva</w:t>
      </w:r>
      <w:r w:rsidR="004701E1">
        <w:rPr>
          <w:rFonts w:ascii="Arial" w:hAnsi="Arial" w:cs="Arial"/>
          <w:sz w:val="24"/>
          <w:szCs w:val="24"/>
        </w:rPr>
        <w:t xml:space="preserve"> transitar pelo a</w:t>
      </w:r>
      <w:r w:rsidR="00AB019F" w:rsidRPr="00FD1390">
        <w:rPr>
          <w:rFonts w:ascii="Arial" w:hAnsi="Arial" w:cs="Arial"/>
          <w:sz w:val="24"/>
          <w:szCs w:val="24"/>
        </w:rPr>
        <w:t>lmoxarifado do órgão, deverá observar também o Decreto Estadual nº 4.258-N, de 14/04/1998, compatibilizando administração de material com ge</w:t>
      </w:r>
      <w:r w:rsidR="00D03B6A" w:rsidRPr="00FD1390">
        <w:rPr>
          <w:rFonts w:ascii="Arial" w:hAnsi="Arial" w:cs="Arial"/>
          <w:sz w:val="24"/>
          <w:szCs w:val="24"/>
        </w:rPr>
        <w:t>stão de contrato</w:t>
      </w:r>
      <w:r w:rsidR="00AB019F" w:rsidRPr="00FD1390">
        <w:rPr>
          <w:rFonts w:ascii="Arial" w:hAnsi="Arial" w:cs="Arial"/>
          <w:sz w:val="24"/>
          <w:szCs w:val="24"/>
        </w:rPr>
        <w:t>.</w:t>
      </w:r>
    </w:p>
    <w:p w:rsidR="006F6D63" w:rsidRDefault="006F6D6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D63" w:rsidRDefault="006F6D6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T04 – Reconhecer a despesa por competência</w:t>
      </w:r>
    </w:p>
    <w:p w:rsidR="00AB019F" w:rsidRPr="00FD1390" w:rsidRDefault="00AB019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5884" w:rsidRPr="00FD1390" w:rsidRDefault="005E101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</w:t>
      </w:r>
      <w:r w:rsidR="006F6D63">
        <w:rPr>
          <w:rFonts w:ascii="Arial" w:hAnsi="Arial" w:cs="Arial"/>
          <w:sz w:val="24"/>
          <w:szCs w:val="24"/>
        </w:rPr>
        <w:t>5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D03B6A" w:rsidRPr="00FD1390">
        <w:rPr>
          <w:rFonts w:ascii="Arial" w:hAnsi="Arial" w:cs="Arial"/>
          <w:sz w:val="24"/>
          <w:szCs w:val="24"/>
        </w:rPr>
        <w:t>Conferir o cumprimento do objeto e demais obrigações</w:t>
      </w:r>
    </w:p>
    <w:p w:rsidR="000907A3" w:rsidRDefault="000907A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B6A" w:rsidRPr="00FD1390" w:rsidRDefault="00D03B6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Após realizar o recebimento provisório, o gestor, subsidiado pelo fiscal, quando for o caso, conferirá a adequação do objeto aos termos contratuais, obedecido o disposto no artigo 70 da Portaria SEGER/PGE/SECONT Nº 049-R, de 24/08/2010.</w:t>
      </w:r>
    </w:p>
    <w:p w:rsidR="00D03B6A" w:rsidRPr="00FD1390" w:rsidRDefault="00D03B6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B6A" w:rsidRPr="00FD1390" w:rsidRDefault="00D03B6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Havendo conformidade segue para T0</w:t>
      </w:r>
      <w:r w:rsidR="007F1B07">
        <w:rPr>
          <w:rFonts w:ascii="Arial" w:hAnsi="Arial" w:cs="Arial"/>
          <w:sz w:val="24"/>
          <w:szCs w:val="24"/>
        </w:rPr>
        <w:t>6</w:t>
      </w:r>
      <w:r w:rsidRPr="00FD1390">
        <w:rPr>
          <w:rFonts w:ascii="Arial" w:hAnsi="Arial" w:cs="Arial"/>
          <w:sz w:val="24"/>
          <w:szCs w:val="24"/>
        </w:rPr>
        <w:t>, do contrário, para T0</w:t>
      </w:r>
      <w:r w:rsidR="007F1B07">
        <w:rPr>
          <w:rFonts w:ascii="Arial" w:hAnsi="Arial" w:cs="Arial"/>
          <w:sz w:val="24"/>
          <w:szCs w:val="24"/>
        </w:rPr>
        <w:t>7</w:t>
      </w:r>
      <w:r w:rsidRPr="00FD1390">
        <w:rPr>
          <w:rFonts w:ascii="Arial" w:hAnsi="Arial" w:cs="Arial"/>
          <w:sz w:val="24"/>
          <w:szCs w:val="24"/>
        </w:rPr>
        <w:t>.</w:t>
      </w:r>
    </w:p>
    <w:p w:rsidR="00D03B6A" w:rsidRPr="00FD1390" w:rsidRDefault="00D03B6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95E" w:rsidRPr="00FD1390" w:rsidRDefault="0033210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</w:t>
      </w:r>
      <w:r w:rsidR="006F6D63">
        <w:rPr>
          <w:rFonts w:ascii="Arial" w:hAnsi="Arial" w:cs="Arial"/>
          <w:sz w:val="24"/>
          <w:szCs w:val="24"/>
        </w:rPr>
        <w:t>6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D6195E" w:rsidRPr="00FD1390">
        <w:rPr>
          <w:rFonts w:ascii="Arial" w:hAnsi="Arial" w:cs="Arial"/>
          <w:sz w:val="24"/>
          <w:szCs w:val="24"/>
        </w:rPr>
        <w:t>R</w:t>
      </w:r>
      <w:r w:rsidR="00AC1614">
        <w:rPr>
          <w:rFonts w:ascii="Arial" w:hAnsi="Arial" w:cs="Arial"/>
          <w:sz w:val="24"/>
          <w:szCs w:val="24"/>
        </w:rPr>
        <w:t>ealizar o recebimento d</w:t>
      </w:r>
      <w:r w:rsidR="00D6195E" w:rsidRPr="00FD1390">
        <w:rPr>
          <w:rFonts w:ascii="Arial" w:hAnsi="Arial" w:cs="Arial"/>
          <w:sz w:val="24"/>
          <w:szCs w:val="24"/>
        </w:rPr>
        <w:t>efinitivo</w:t>
      </w:r>
    </w:p>
    <w:p w:rsidR="00EA1A2E" w:rsidRPr="00FD1390" w:rsidRDefault="00EA1A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95E" w:rsidRPr="00FD1390" w:rsidRDefault="00EA1A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Em se tratando de aquisição/fornecimento de bens e locação de equipamentos será realizado após o recebimento provisório, no prazo previsto em contrato</w:t>
      </w:r>
      <w:r w:rsidR="005B1D1C" w:rsidRPr="00FD1390">
        <w:rPr>
          <w:rFonts w:ascii="Arial" w:hAnsi="Arial" w:cs="Arial"/>
          <w:sz w:val="24"/>
          <w:szCs w:val="24"/>
        </w:rPr>
        <w:t>.</w:t>
      </w:r>
      <w:r w:rsidR="00D6195E" w:rsidRPr="00FD1390">
        <w:rPr>
          <w:rFonts w:ascii="Arial" w:hAnsi="Arial" w:cs="Arial"/>
          <w:sz w:val="24"/>
          <w:szCs w:val="24"/>
        </w:rPr>
        <w:t xml:space="preserve"> A regra é que seja mediante </w:t>
      </w:r>
      <w:r w:rsidR="00D6195E" w:rsidRPr="00FD1390">
        <w:rPr>
          <w:rFonts w:ascii="Arial" w:hAnsi="Arial" w:cs="Arial"/>
          <w:b/>
          <w:sz w:val="24"/>
          <w:szCs w:val="24"/>
        </w:rPr>
        <w:t>recibo</w:t>
      </w:r>
      <w:r w:rsidR="00D6195E" w:rsidRPr="00FD1390">
        <w:rPr>
          <w:rFonts w:ascii="Arial" w:hAnsi="Arial" w:cs="Arial"/>
          <w:sz w:val="24"/>
          <w:szCs w:val="24"/>
        </w:rPr>
        <w:t xml:space="preserve">, todavia será feito mediante </w:t>
      </w:r>
      <w:r w:rsidR="00D6195E" w:rsidRPr="00FD1390">
        <w:rPr>
          <w:rFonts w:ascii="Arial" w:hAnsi="Arial" w:cs="Arial"/>
          <w:b/>
          <w:sz w:val="24"/>
          <w:szCs w:val="24"/>
        </w:rPr>
        <w:t xml:space="preserve">termo circunstanciado </w:t>
      </w:r>
      <w:r w:rsidR="00D6195E" w:rsidRPr="00FD1390">
        <w:rPr>
          <w:rFonts w:ascii="Arial" w:hAnsi="Arial" w:cs="Arial"/>
          <w:sz w:val="24"/>
          <w:szCs w:val="24"/>
        </w:rPr>
        <w:t xml:space="preserve">quando se tratar de aquisição de equipamentos de grande vulto (aquele cujo valor é superior a 25 vezes o limite estabelecido na alínea “c” do incido I do artigo 23 da Lei 8.666/93). </w:t>
      </w:r>
    </w:p>
    <w:p w:rsidR="00D6195E" w:rsidRPr="00FD1390" w:rsidRDefault="00D6195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95E" w:rsidRPr="00FD1390" w:rsidRDefault="007301A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Em se tratando de gêneros perecíveis e alimentação preparada; serviços profissionais; e obras e serviços, que não sejam de engenharia, até o limite previsto para compras e serviços no artigo 23, II, alínea “a”, da Lei 8.666/93 e, desde que não se componham de aparelhos, equipamentos e instalações sujeitos à verificação de funcionamento e produtividade, mostra-se necessário, d</w:t>
      </w:r>
      <w:r w:rsidR="00D6195E" w:rsidRPr="00FD1390">
        <w:rPr>
          <w:rFonts w:ascii="Arial" w:hAnsi="Arial" w:cs="Arial"/>
          <w:sz w:val="24"/>
          <w:szCs w:val="24"/>
        </w:rPr>
        <w:t xml:space="preserve">e acordo com o artigo 67 da Portaria SEGER/PGE/SECONT Nº 049-R, de 24/08/2010, </w:t>
      </w:r>
      <w:r w:rsidRPr="00FD1390">
        <w:rPr>
          <w:rFonts w:ascii="Arial" w:hAnsi="Arial" w:cs="Arial"/>
          <w:sz w:val="24"/>
          <w:szCs w:val="24"/>
        </w:rPr>
        <w:t>mediante</w:t>
      </w:r>
      <w:r w:rsidRPr="00FD1390">
        <w:rPr>
          <w:rFonts w:ascii="Arial" w:hAnsi="Arial" w:cs="Arial"/>
          <w:b/>
          <w:sz w:val="24"/>
          <w:szCs w:val="24"/>
        </w:rPr>
        <w:t xml:space="preserve"> recibo</w:t>
      </w:r>
      <w:r w:rsidR="00D6195E" w:rsidRPr="00FD1390">
        <w:rPr>
          <w:rFonts w:ascii="Arial" w:hAnsi="Arial" w:cs="Arial"/>
          <w:sz w:val="24"/>
          <w:szCs w:val="24"/>
        </w:rPr>
        <w:t>.</w:t>
      </w:r>
    </w:p>
    <w:p w:rsidR="00D6195E" w:rsidRPr="00FD1390" w:rsidRDefault="00D6195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B6A" w:rsidRPr="00FD1390" w:rsidRDefault="00D03B6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Quando se tratar de obras e serviços será feito mediante </w:t>
      </w:r>
      <w:r w:rsidRPr="00FD1390">
        <w:rPr>
          <w:rFonts w:ascii="Arial" w:hAnsi="Arial" w:cs="Arial"/>
          <w:b/>
          <w:sz w:val="24"/>
          <w:szCs w:val="24"/>
        </w:rPr>
        <w:t>termo circunstanciado</w:t>
      </w:r>
      <w:r w:rsidRPr="00FD1390">
        <w:rPr>
          <w:rFonts w:ascii="Arial" w:hAnsi="Arial" w:cs="Arial"/>
          <w:sz w:val="24"/>
          <w:szCs w:val="24"/>
        </w:rPr>
        <w:t>, no prazo previsto no instrumento contratual, limitado a 90 (noventa) dias, salvo em casos excepcionais, devidamente justificados e previstos em edital, conforme dispõe o artigo 66, §2º da Portaria SEGER/PGE/SECONT Nº 049-R, de 24/08/2010.</w:t>
      </w:r>
    </w:p>
    <w:p w:rsidR="00D03B6A" w:rsidRPr="00FD1390" w:rsidRDefault="00D03B6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B6A" w:rsidRPr="00FD1390" w:rsidRDefault="00D03B6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Em se tratando de material e obras e serviços de engenharia cujo valor seja superior ao limite estabelecido para a modalidade convite, deverá ser feito por uma comissão de no mínimo 03 (três) membros, conforme disposto nos artigos 15, §8º da Lei 8.666/93 e 66, §4º da Portaria SEGER/PGE/SECONT Nº 049-R, de 24/08/2010.</w:t>
      </w:r>
    </w:p>
    <w:p w:rsidR="003F5944" w:rsidRPr="00FD1390" w:rsidRDefault="003F594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944" w:rsidRPr="00FD1390" w:rsidRDefault="003F594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Cabe destacar que o recebimento, quando o objeto for material que deva transitar pelo Almoxarifado do órgão, deverá observar também o Decreto Estadual nº 4.258-N, de 14/04/1998, compatibilizando administração de material com gestão de contrato.</w:t>
      </w:r>
    </w:p>
    <w:p w:rsidR="00D03B6A" w:rsidRPr="00FD1390" w:rsidRDefault="00D03B6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95E" w:rsidRPr="00FD1390" w:rsidRDefault="00D6195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A Administração rejeitará, no todo ou em parte, obra, serviço ou fornecimento em desacordo com as condições pactuadas, podendo, entretanto, se lhe convier, decidir </w:t>
      </w:r>
      <w:r w:rsidRPr="00FD1390">
        <w:rPr>
          <w:rFonts w:ascii="Arial" w:hAnsi="Arial" w:cs="Arial"/>
          <w:sz w:val="24"/>
          <w:szCs w:val="24"/>
        </w:rPr>
        <w:lastRenderedPageBreak/>
        <w:t>pelo recebimento, neste caso com as deduções cabíveis (</w:t>
      </w:r>
      <w:r w:rsidR="003F5944" w:rsidRPr="00FD1390">
        <w:rPr>
          <w:rFonts w:ascii="Arial" w:hAnsi="Arial" w:cs="Arial"/>
          <w:sz w:val="24"/>
          <w:szCs w:val="24"/>
        </w:rPr>
        <w:t>a</w:t>
      </w:r>
      <w:r w:rsidRPr="00FD1390">
        <w:rPr>
          <w:rFonts w:ascii="Arial" w:hAnsi="Arial" w:cs="Arial"/>
          <w:sz w:val="24"/>
          <w:szCs w:val="24"/>
        </w:rPr>
        <w:t>rtigo</w:t>
      </w:r>
      <w:r w:rsidR="003F5944" w:rsidRPr="00FD1390">
        <w:rPr>
          <w:rFonts w:ascii="Arial" w:hAnsi="Arial" w:cs="Arial"/>
          <w:sz w:val="24"/>
          <w:szCs w:val="24"/>
        </w:rPr>
        <w:t xml:space="preserve"> 76 da lei 8.666/93 e artigo</w:t>
      </w:r>
      <w:r w:rsidRPr="00FD1390">
        <w:rPr>
          <w:rFonts w:ascii="Arial" w:hAnsi="Arial" w:cs="Arial"/>
          <w:sz w:val="24"/>
          <w:szCs w:val="24"/>
        </w:rPr>
        <w:t xml:space="preserve"> 69 da Portaria SEGER/PGE/SECONT Nº 049-R, de 24/08/2010).</w:t>
      </w:r>
    </w:p>
    <w:p w:rsidR="00D6195E" w:rsidRPr="00FD1390" w:rsidRDefault="00D6195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95E" w:rsidRPr="00FD1390" w:rsidRDefault="001F3718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Portanto, quando o recebimento do objeto for parcial, o instrumento de formalização (recibo ou termo circunstanciado) deverá </w:t>
      </w:r>
      <w:r w:rsidR="005B1D1C" w:rsidRPr="00FD1390">
        <w:rPr>
          <w:rFonts w:ascii="Arial" w:hAnsi="Arial" w:cs="Arial"/>
          <w:sz w:val="24"/>
          <w:szCs w:val="24"/>
        </w:rPr>
        <w:t xml:space="preserve">ressalvar as condições de sua realização. </w:t>
      </w:r>
      <w:r w:rsidR="00D6195E" w:rsidRPr="00FD1390">
        <w:rPr>
          <w:rFonts w:ascii="Arial" w:hAnsi="Arial" w:cs="Arial"/>
          <w:sz w:val="24"/>
          <w:szCs w:val="24"/>
        </w:rPr>
        <w:t>Neste caso, as implicações decorrentes da</w:t>
      </w:r>
      <w:r w:rsidR="005B1D1C" w:rsidRPr="00FD1390">
        <w:rPr>
          <w:rFonts w:ascii="Arial" w:hAnsi="Arial" w:cs="Arial"/>
          <w:sz w:val="24"/>
          <w:szCs w:val="24"/>
        </w:rPr>
        <w:t xml:space="preserve"> (s)</w:t>
      </w:r>
      <w:r w:rsidR="00D6195E" w:rsidRPr="00FD1390">
        <w:rPr>
          <w:rFonts w:ascii="Arial" w:hAnsi="Arial" w:cs="Arial"/>
          <w:sz w:val="24"/>
          <w:szCs w:val="24"/>
        </w:rPr>
        <w:t xml:space="preserve"> ressalva</w:t>
      </w:r>
      <w:r w:rsidR="005B1D1C" w:rsidRPr="00FD1390">
        <w:rPr>
          <w:rFonts w:ascii="Arial" w:hAnsi="Arial" w:cs="Arial"/>
          <w:sz w:val="24"/>
          <w:szCs w:val="24"/>
        </w:rPr>
        <w:t xml:space="preserve"> (s)</w:t>
      </w:r>
      <w:r w:rsidR="00D6195E" w:rsidRPr="00FD1390">
        <w:rPr>
          <w:rFonts w:ascii="Arial" w:hAnsi="Arial" w:cs="Arial"/>
          <w:sz w:val="24"/>
          <w:szCs w:val="24"/>
        </w:rPr>
        <w:t xml:space="preserve"> deverão ser </w:t>
      </w:r>
      <w:r w:rsidR="005B1D1C" w:rsidRPr="00FD1390">
        <w:rPr>
          <w:rFonts w:ascii="Arial" w:hAnsi="Arial" w:cs="Arial"/>
          <w:sz w:val="24"/>
          <w:szCs w:val="24"/>
        </w:rPr>
        <w:t>consideradas</w:t>
      </w:r>
      <w:r w:rsidR="00D6195E" w:rsidRPr="00FD1390">
        <w:rPr>
          <w:rFonts w:ascii="Arial" w:hAnsi="Arial" w:cs="Arial"/>
          <w:sz w:val="24"/>
          <w:szCs w:val="24"/>
        </w:rPr>
        <w:t xml:space="preserve"> pelo gestor para avaliar </w:t>
      </w:r>
      <w:r w:rsidR="005B1D1C" w:rsidRPr="00FD1390">
        <w:rPr>
          <w:rFonts w:ascii="Arial" w:hAnsi="Arial" w:cs="Arial"/>
          <w:sz w:val="24"/>
          <w:szCs w:val="24"/>
        </w:rPr>
        <w:t>as providências a serem adotada</w:t>
      </w:r>
      <w:r w:rsidR="00D6195E" w:rsidRPr="00FD1390">
        <w:rPr>
          <w:rFonts w:ascii="Arial" w:hAnsi="Arial" w:cs="Arial"/>
          <w:sz w:val="24"/>
          <w:szCs w:val="24"/>
        </w:rPr>
        <w:t>s, como glosa no pagamento, ap</w:t>
      </w:r>
      <w:r w:rsidR="004D6BF3" w:rsidRPr="00FD1390">
        <w:rPr>
          <w:rFonts w:ascii="Arial" w:hAnsi="Arial" w:cs="Arial"/>
          <w:sz w:val="24"/>
          <w:szCs w:val="24"/>
        </w:rPr>
        <w:t>licação de sanção administrativa</w:t>
      </w:r>
      <w:r w:rsidR="00D6195E" w:rsidRPr="00FD1390">
        <w:rPr>
          <w:rFonts w:ascii="Arial" w:hAnsi="Arial" w:cs="Arial"/>
          <w:sz w:val="24"/>
          <w:szCs w:val="24"/>
        </w:rPr>
        <w:t xml:space="preserve"> e/ou rescisão contratual</w:t>
      </w:r>
      <w:r w:rsidR="004D6BF3" w:rsidRPr="00FD1390">
        <w:rPr>
          <w:rFonts w:ascii="Arial" w:hAnsi="Arial" w:cs="Arial"/>
          <w:sz w:val="24"/>
          <w:szCs w:val="24"/>
        </w:rPr>
        <w:t>, quando configurar inexecução do contrato</w:t>
      </w:r>
      <w:r w:rsidR="00D6195E" w:rsidRPr="00FD1390">
        <w:rPr>
          <w:rFonts w:ascii="Arial" w:hAnsi="Arial" w:cs="Arial"/>
          <w:sz w:val="24"/>
          <w:szCs w:val="24"/>
        </w:rPr>
        <w:t>.</w:t>
      </w:r>
    </w:p>
    <w:p w:rsidR="000907A3" w:rsidRDefault="000907A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063D4" w:rsidRPr="00FD1390" w:rsidRDefault="003B5AD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</w:t>
      </w:r>
      <w:r w:rsidR="006F6D63">
        <w:rPr>
          <w:rFonts w:ascii="Arial" w:hAnsi="Arial" w:cs="Arial"/>
          <w:sz w:val="24"/>
          <w:szCs w:val="24"/>
        </w:rPr>
        <w:t>7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7A459C" w:rsidRPr="00FD1390">
        <w:rPr>
          <w:rFonts w:ascii="Arial" w:hAnsi="Arial" w:cs="Arial"/>
          <w:sz w:val="24"/>
          <w:szCs w:val="24"/>
        </w:rPr>
        <w:t>Notificar da recusa parcial ou total</w:t>
      </w:r>
    </w:p>
    <w:p w:rsidR="008C7E8B" w:rsidRPr="00FD1390" w:rsidRDefault="008C7E8B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03D7A" w:rsidRPr="00FD1390" w:rsidRDefault="002D0AA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A contratada será notificada a respeito da desconformidade identificada no objeto entregue, em relação à especificação, para</w:t>
      </w:r>
      <w:r w:rsidR="00F03D7A" w:rsidRPr="00FD1390">
        <w:rPr>
          <w:rFonts w:ascii="Arial" w:hAnsi="Arial" w:cs="Arial"/>
          <w:sz w:val="24"/>
          <w:szCs w:val="24"/>
        </w:rPr>
        <w:t xml:space="preserve"> adotar as providências necessárias, no prazo previsto no instrumento convocatório ou no instrumento contratual, renovando-se, a partir da nova entrega, o prazo para recebimento definitivo.</w:t>
      </w:r>
    </w:p>
    <w:p w:rsidR="006143D6" w:rsidRPr="00FD1390" w:rsidRDefault="006143D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D9B" w:rsidRPr="00FD1390" w:rsidRDefault="005641B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</w:t>
      </w:r>
      <w:r w:rsidR="006F6D63">
        <w:rPr>
          <w:rFonts w:ascii="Arial" w:hAnsi="Arial" w:cs="Arial"/>
          <w:sz w:val="24"/>
          <w:szCs w:val="24"/>
        </w:rPr>
        <w:t>8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386D9B" w:rsidRPr="00FD1390">
        <w:rPr>
          <w:rFonts w:ascii="Arial" w:hAnsi="Arial" w:cs="Arial"/>
          <w:sz w:val="24"/>
          <w:szCs w:val="24"/>
        </w:rPr>
        <w:t>Realizar correções, ajustes, desfazimento ou substituição</w:t>
      </w:r>
    </w:p>
    <w:p w:rsidR="00386D9B" w:rsidRPr="00FD1390" w:rsidRDefault="00386D9B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D0AA7" w:rsidRPr="00FD1390" w:rsidRDefault="002D0AA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Caso sejam realizadas as correções, ajustes, desfazimento ou substituição, no sentido de entregar o objeto conforme sua especificação, segue para T0</w:t>
      </w:r>
      <w:r w:rsidR="007F1B07">
        <w:rPr>
          <w:rFonts w:ascii="Arial" w:hAnsi="Arial" w:cs="Arial"/>
          <w:sz w:val="24"/>
          <w:szCs w:val="24"/>
        </w:rPr>
        <w:t>5</w:t>
      </w:r>
      <w:r w:rsidRPr="00FD1390">
        <w:rPr>
          <w:rFonts w:ascii="Arial" w:hAnsi="Arial" w:cs="Arial"/>
          <w:sz w:val="24"/>
          <w:szCs w:val="24"/>
        </w:rPr>
        <w:t>.</w:t>
      </w:r>
    </w:p>
    <w:p w:rsidR="002D0AA7" w:rsidRPr="00FD1390" w:rsidRDefault="002D0AA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4AF" w:rsidRPr="00FD1390" w:rsidRDefault="002D0AA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Caso não sejam realizadas as correções, ajustes, desfazimento ou substituição, e</w:t>
      </w:r>
      <w:r w:rsidR="002654AF" w:rsidRPr="00FD1390">
        <w:rPr>
          <w:rFonts w:ascii="Arial" w:hAnsi="Arial" w:cs="Arial"/>
          <w:sz w:val="24"/>
          <w:szCs w:val="24"/>
        </w:rPr>
        <w:t xml:space="preserve"> havendo a inexecução total da contratação, o recebimento definitivo ficará inviabilizado.</w:t>
      </w:r>
    </w:p>
    <w:p w:rsidR="002654AF" w:rsidRPr="00FD1390" w:rsidRDefault="002654A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6D0D" w:rsidRPr="00FD1390" w:rsidRDefault="002654A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Em caso de inexecução, a</w:t>
      </w:r>
      <w:r w:rsidR="00036D0D" w:rsidRPr="00FD1390">
        <w:rPr>
          <w:rFonts w:ascii="Arial" w:hAnsi="Arial" w:cs="Arial"/>
          <w:sz w:val="24"/>
          <w:szCs w:val="24"/>
        </w:rPr>
        <w:t xml:space="preserve"> contratada estará sujeita a aplicação de sanção administrativa e/ou rescisão contratual, conforme previsto no contrato</w:t>
      </w:r>
      <w:r w:rsidRPr="00FD1390">
        <w:rPr>
          <w:rFonts w:ascii="Arial" w:hAnsi="Arial" w:cs="Arial"/>
          <w:sz w:val="24"/>
          <w:szCs w:val="24"/>
        </w:rPr>
        <w:t>.</w:t>
      </w:r>
    </w:p>
    <w:p w:rsidR="00036D0D" w:rsidRPr="00FD1390" w:rsidRDefault="00036D0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654AF" w:rsidRPr="00FD1390" w:rsidRDefault="001A79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6F6D6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</w:t>
      </w:r>
      <w:r w:rsidR="00510CE1" w:rsidRPr="00FD1390">
        <w:rPr>
          <w:rFonts w:ascii="Arial" w:hAnsi="Arial" w:cs="Arial"/>
          <w:sz w:val="24"/>
          <w:szCs w:val="24"/>
        </w:rPr>
        <w:t>Gerir instrumento contratual no Módulo de Contratos (SIGA)</w:t>
      </w:r>
    </w:p>
    <w:p w:rsidR="002654AF" w:rsidRPr="00FD1390" w:rsidRDefault="002654A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654AF" w:rsidRPr="00FD1390" w:rsidRDefault="002654A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Os atos e os procedimentos relativos à execução, acompanhamento e fiscalização do Termo de Contrato ou instrumentos equivalentes deverão ser realizados no Sistema Integrado de Gestão Administrativa – SIGA, por meio do Módulo de Contratos, inclusive o </w:t>
      </w:r>
      <w:r w:rsidR="00881DEF" w:rsidRPr="00FD1390">
        <w:rPr>
          <w:rFonts w:ascii="Arial" w:hAnsi="Arial" w:cs="Arial"/>
          <w:sz w:val="24"/>
          <w:szCs w:val="24"/>
        </w:rPr>
        <w:t>recebimento do objeto</w:t>
      </w:r>
      <w:r w:rsidRPr="00FD1390">
        <w:rPr>
          <w:rFonts w:ascii="Arial" w:hAnsi="Arial" w:cs="Arial"/>
          <w:sz w:val="24"/>
          <w:szCs w:val="24"/>
        </w:rPr>
        <w:t xml:space="preserve">. Os atos que não puderem ser realizados, serão nele registrados. </w:t>
      </w:r>
    </w:p>
    <w:p w:rsidR="002654AF" w:rsidRPr="00FD1390" w:rsidRDefault="002654A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4AF" w:rsidRPr="00FD1390" w:rsidRDefault="002654A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Preferencialmente, o lançamento dos atos e procedimentos de gestão no sistema deverão manter a cronologia e contemporaneidade com o processo físico.</w:t>
      </w:r>
    </w:p>
    <w:p w:rsidR="00F827BF" w:rsidRDefault="00F827B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27BF" w:rsidRDefault="009A7BBE" w:rsidP="00265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BC95D1F" wp14:editId="19278287">
            <wp:extent cx="5760085" cy="2870421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8791"/>
                    <a:stretch/>
                  </pic:blipFill>
                  <pic:spPr bwMode="auto">
                    <a:xfrm>
                      <a:off x="0" y="0"/>
                      <a:ext cx="5760085" cy="2870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B21" w:rsidRDefault="00DF0B21" w:rsidP="00265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7A3" w:rsidRDefault="000907A3" w:rsidP="00265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AD6" w:rsidRPr="000907A3" w:rsidRDefault="003B5AD6" w:rsidP="00FD1390">
      <w:pPr>
        <w:pStyle w:val="N11"/>
        <w:numPr>
          <w:ilvl w:val="0"/>
          <w:numId w:val="0"/>
        </w:numPr>
        <w:spacing w:before="0" w:after="0"/>
        <w:rPr>
          <w:rFonts w:cs="Arial"/>
          <w:b/>
          <w:szCs w:val="24"/>
        </w:rPr>
      </w:pPr>
      <w:r w:rsidRPr="000907A3">
        <w:rPr>
          <w:rFonts w:cs="Arial"/>
          <w:b/>
          <w:szCs w:val="24"/>
        </w:rPr>
        <w:t>SB0</w:t>
      </w:r>
      <w:r w:rsidR="005D4E73" w:rsidRPr="000907A3">
        <w:rPr>
          <w:rFonts w:cs="Arial"/>
          <w:b/>
          <w:szCs w:val="24"/>
        </w:rPr>
        <w:t>2</w:t>
      </w:r>
      <w:r w:rsidR="009A7BBE">
        <w:rPr>
          <w:rFonts w:cs="Arial"/>
          <w:b/>
          <w:szCs w:val="24"/>
        </w:rPr>
        <w:t xml:space="preserve"> -</w:t>
      </w:r>
      <w:r w:rsidRPr="000907A3">
        <w:rPr>
          <w:rFonts w:cs="Arial"/>
          <w:b/>
          <w:szCs w:val="24"/>
        </w:rPr>
        <w:t xml:space="preserve"> Pagamento</w:t>
      </w:r>
    </w:p>
    <w:p w:rsidR="00AF1B31" w:rsidRDefault="00AF1B3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AD6" w:rsidRPr="00FD1390" w:rsidRDefault="003B5AD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T01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Pr="00FD1390">
        <w:rPr>
          <w:rFonts w:ascii="Arial" w:hAnsi="Arial" w:cs="Arial"/>
          <w:sz w:val="24"/>
          <w:szCs w:val="24"/>
        </w:rPr>
        <w:t xml:space="preserve">Identificar </w:t>
      </w:r>
      <w:r w:rsidR="009B3E39">
        <w:rPr>
          <w:rFonts w:ascii="Arial" w:hAnsi="Arial" w:cs="Arial"/>
          <w:sz w:val="24"/>
          <w:szCs w:val="24"/>
        </w:rPr>
        <w:t xml:space="preserve">o </w:t>
      </w:r>
      <w:r w:rsidRPr="00FD1390">
        <w:rPr>
          <w:rFonts w:ascii="Arial" w:hAnsi="Arial" w:cs="Arial"/>
          <w:sz w:val="24"/>
          <w:szCs w:val="24"/>
        </w:rPr>
        <w:t>valor para pagamento</w:t>
      </w:r>
    </w:p>
    <w:p w:rsidR="003B5AD6" w:rsidRPr="00FD1390" w:rsidRDefault="003B5AD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AD6" w:rsidRPr="00FD1390" w:rsidRDefault="003F5944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Quando o recebimento contiver ressalva que im</w:t>
      </w:r>
      <w:r w:rsidR="00E27866" w:rsidRPr="00FD1390">
        <w:rPr>
          <w:rFonts w:ascii="Arial" w:hAnsi="Arial" w:cs="Arial"/>
          <w:sz w:val="24"/>
          <w:szCs w:val="24"/>
        </w:rPr>
        <w:t xml:space="preserve">pacte no valor a ser pago, serão </w:t>
      </w:r>
      <w:r w:rsidRPr="00FD1390">
        <w:rPr>
          <w:rFonts w:ascii="Arial" w:hAnsi="Arial" w:cs="Arial"/>
          <w:sz w:val="24"/>
          <w:szCs w:val="24"/>
        </w:rPr>
        <w:t>apontado</w:t>
      </w:r>
      <w:r w:rsidR="00E27866" w:rsidRPr="00FD1390">
        <w:rPr>
          <w:rFonts w:ascii="Arial" w:hAnsi="Arial" w:cs="Arial"/>
          <w:sz w:val="24"/>
          <w:szCs w:val="24"/>
        </w:rPr>
        <w:t>s</w:t>
      </w:r>
      <w:r w:rsidRPr="00FD1390">
        <w:rPr>
          <w:rFonts w:ascii="Arial" w:hAnsi="Arial" w:cs="Arial"/>
          <w:sz w:val="24"/>
          <w:szCs w:val="24"/>
        </w:rPr>
        <w:t xml:space="preserve"> o valor</w:t>
      </w:r>
      <w:r w:rsidR="00E27866" w:rsidRPr="00FD1390">
        <w:rPr>
          <w:rFonts w:ascii="Arial" w:hAnsi="Arial" w:cs="Arial"/>
          <w:sz w:val="24"/>
          <w:szCs w:val="24"/>
        </w:rPr>
        <w:t xml:space="preserve"> a</w:t>
      </w:r>
      <w:r w:rsidR="00F827BF" w:rsidRPr="00FD1390">
        <w:rPr>
          <w:rFonts w:ascii="Arial" w:hAnsi="Arial" w:cs="Arial"/>
          <w:sz w:val="24"/>
          <w:szCs w:val="24"/>
        </w:rPr>
        <w:t xml:space="preserve"> ser efetivamente pago e</w:t>
      </w:r>
      <w:r w:rsidRPr="00FD1390">
        <w:rPr>
          <w:rFonts w:ascii="Arial" w:hAnsi="Arial" w:cs="Arial"/>
          <w:sz w:val="24"/>
          <w:szCs w:val="24"/>
        </w:rPr>
        <w:t xml:space="preserve"> </w:t>
      </w:r>
      <w:r w:rsidR="00F827BF" w:rsidRPr="00FD1390">
        <w:rPr>
          <w:rFonts w:ascii="Arial" w:hAnsi="Arial" w:cs="Arial"/>
          <w:sz w:val="24"/>
          <w:szCs w:val="24"/>
        </w:rPr>
        <w:t>eventual dedução cabível</w:t>
      </w:r>
      <w:r w:rsidRPr="00FD1390">
        <w:rPr>
          <w:rFonts w:ascii="Arial" w:hAnsi="Arial" w:cs="Arial"/>
          <w:sz w:val="24"/>
          <w:szCs w:val="24"/>
        </w:rPr>
        <w:t xml:space="preserve">. </w:t>
      </w:r>
    </w:p>
    <w:p w:rsidR="003B5AD6" w:rsidRPr="00FD1390" w:rsidRDefault="003B5AD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7866" w:rsidRPr="00FD1390" w:rsidRDefault="00E2786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Caso haja necessidade de glosa</w:t>
      </w:r>
      <w:r w:rsidR="009A7BBE">
        <w:rPr>
          <w:rFonts w:ascii="Arial" w:hAnsi="Arial" w:cs="Arial"/>
          <w:sz w:val="24"/>
          <w:szCs w:val="24"/>
        </w:rPr>
        <w:t>,</w:t>
      </w:r>
      <w:r w:rsidRPr="00FD1390">
        <w:rPr>
          <w:rFonts w:ascii="Arial" w:hAnsi="Arial" w:cs="Arial"/>
          <w:sz w:val="24"/>
          <w:szCs w:val="24"/>
        </w:rPr>
        <w:t xml:space="preserve"> seguir T02</w:t>
      </w:r>
      <w:r w:rsidR="009A7BBE">
        <w:rPr>
          <w:rFonts w:ascii="Arial" w:hAnsi="Arial" w:cs="Arial"/>
          <w:sz w:val="24"/>
          <w:szCs w:val="24"/>
        </w:rPr>
        <w:t>.</w:t>
      </w:r>
      <w:r w:rsidRPr="00FD1390">
        <w:rPr>
          <w:rFonts w:ascii="Arial" w:hAnsi="Arial" w:cs="Arial"/>
          <w:sz w:val="24"/>
          <w:szCs w:val="24"/>
        </w:rPr>
        <w:t xml:space="preserve"> </w:t>
      </w:r>
      <w:r w:rsidR="009A7BBE">
        <w:rPr>
          <w:rFonts w:ascii="Arial" w:hAnsi="Arial" w:cs="Arial"/>
          <w:sz w:val="24"/>
          <w:szCs w:val="24"/>
        </w:rPr>
        <w:t>Caso</w:t>
      </w:r>
      <w:r w:rsidRPr="00FD1390">
        <w:rPr>
          <w:rFonts w:ascii="Arial" w:hAnsi="Arial" w:cs="Arial"/>
          <w:sz w:val="24"/>
          <w:szCs w:val="24"/>
        </w:rPr>
        <w:t xml:space="preserve"> contrário</w:t>
      </w:r>
      <w:r w:rsidR="009A7BBE">
        <w:rPr>
          <w:rFonts w:ascii="Arial" w:hAnsi="Arial" w:cs="Arial"/>
          <w:sz w:val="24"/>
          <w:szCs w:val="24"/>
        </w:rPr>
        <w:t>,</w:t>
      </w:r>
      <w:r w:rsidRPr="00FD1390">
        <w:rPr>
          <w:rFonts w:ascii="Arial" w:hAnsi="Arial" w:cs="Arial"/>
          <w:sz w:val="24"/>
          <w:szCs w:val="24"/>
        </w:rPr>
        <w:t xml:space="preserve"> </w:t>
      </w:r>
      <w:r w:rsidR="009A7BBE">
        <w:rPr>
          <w:rFonts w:ascii="Arial" w:hAnsi="Arial" w:cs="Arial"/>
          <w:sz w:val="24"/>
          <w:szCs w:val="24"/>
        </w:rPr>
        <w:t>segue</w:t>
      </w:r>
      <w:r w:rsidRPr="00FD1390">
        <w:rPr>
          <w:rFonts w:ascii="Arial" w:hAnsi="Arial" w:cs="Arial"/>
          <w:sz w:val="24"/>
          <w:szCs w:val="24"/>
        </w:rPr>
        <w:t xml:space="preserve"> T03.</w:t>
      </w:r>
    </w:p>
    <w:p w:rsidR="00E27866" w:rsidRPr="00FD1390" w:rsidRDefault="00E2786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AD6" w:rsidRPr="00FD1390" w:rsidRDefault="005D4E7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T02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3B5AD6" w:rsidRPr="00FD1390">
        <w:rPr>
          <w:rFonts w:ascii="Arial" w:hAnsi="Arial" w:cs="Arial"/>
          <w:sz w:val="24"/>
          <w:szCs w:val="24"/>
        </w:rPr>
        <w:t xml:space="preserve">Comunicar o valor da </w:t>
      </w:r>
      <w:r w:rsidR="004E02BB">
        <w:rPr>
          <w:rFonts w:ascii="Arial" w:hAnsi="Arial" w:cs="Arial"/>
          <w:sz w:val="24"/>
          <w:szCs w:val="24"/>
        </w:rPr>
        <w:t>n</w:t>
      </w:r>
      <w:r w:rsidR="003B5AD6" w:rsidRPr="00FD1390">
        <w:rPr>
          <w:rFonts w:ascii="Arial" w:hAnsi="Arial" w:cs="Arial"/>
          <w:sz w:val="24"/>
          <w:szCs w:val="24"/>
        </w:rPr>
        <w:t>ota fiscal/</w:t>
      </w:r>
      <w:r w:rsidR="004E02BB">
        <w:rPr>
          <w:rFonts w:ascii="Arial" w:hAnsi="Arial" w:cs="Arial"/>
          <w:sz w:val="24"/>
          <w:szCs w:val="24"/>
        </w:rPr>
        <w:t>f</w:t>
      </w:r>
      <w:r w:rsidR="003B5AD6" w:rsidRPr="00FD1390">
        <w:rPr>
          <w:rFonts w:ascii="Arial" w:hAnsi="Arial" w:cs="Arial"/>
          <w:sz w:val="24"/>
          <w:szCs w:val="24"/>
        </w:rPr>
        <w:t>atura</w:t>
      </w:r>
    </w:p>
    <w:p w:rsidR="003B5AD6" w:rsidRPr="00FD1390" w:rsidRDefault="003B5AD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AD6" w:rsidRPr="00FD1390" w:rsidRDefault="005D4E7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T03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3B5AD6" w:rsidRPr="00FD1390">
        <w:rPr>
          <w:rFonts w:ascii="Arial" w:hAnsi="Arial" w:cs="Arial"/>
          <w:sz w:val="24"/>
          <w:szCs w:val="24"/>
        </w:rPr>
        <w:t xml:space="preserve">Apresentar </w:t>
      </w:r>
      <w:r w:rsidR="00070BC6">
        <w:rPr>
          <w:rFonts w:ascii="Arial" w:hAnsi="Arial" w:cs="Arial"/>
          <w:sz w:val="24"/>
          <w:szCs w:val="24"/>
        </w:rPr>
        <w:t xml:space="preserve">a </w:t>
      </w:r>
      <w:r w:rsidR="004E02BB">
        <w:rPr>
          <w:rFonts w:ascii="Arial" w:hAnsi="Arial" w:cs="Arial"/>
          <w:sz w:val="24"/>
          <w:szCs w:val="24"/>
        </w:rPr>
        <w:t>n</w:t>
      </w:r>
      <w:r w:rsidR="003B5AD6" w:rsidRPr="00FD1390">
        <w:rPr>
          <w:rFonts w:ascii="Arial" w:hAnsi="Arial" w:cs="Arial"/>
          <w:sz w:val="24"/>
          <w:szCs w:val="24"/>
        </w:rPr>
        <w:t>ota fiscal/</w:t>
      </w:r>
      <w:r w:rsidR="004E02BB">
        <w:rPr>
          <w:rFonts w:ascii="Arial" w:hAnsi="Arial" w:cs="Arial"/>
          <w:sz w:val="24"/>
          <w:szCs w:val="24"/>
        </w:rPr>
        <w:t>f</w:t>
      </w:r>
      <w:r w:rsidR="003B5AD6" w:rsidRPr="00FD1390">
        <w:rPr>
          <w:rFonts w:ascii="Arial" w:hAnsi="Arial" w:cs="Arial"/>
          <w:sz w:val="24"/>
          <w:szCs w:val="24"/>
        </w:rPr>
        <w:t>atura</w:t>
      </w:r>
    </w:p>
    <w:p w:rsidR="00414A4E" w:rsidRPr="00FD1390" w:rsidRDefault="00414A4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7866" w:rsidRPr="00FD1390" w:rsidRDefault="006D0AB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C</w:t>
      </w:r>
      <w:r w:rsidR="00E27866" w:rsidRPr="00FD1390">
        <w:rPr>
          <w:rFonts w:ascii="Arial" w:hAnsi="Arial" w:cs="Arial"/>
          <w:sz w:val="24"/>
          <w:szCs w:val="24"/>
        </w:rPr>
        <w:t>aso</w:t>
      </w:r>
      <w:r w:rsidR="007F5FFD">
        <w:rPr>
          <w:rFonts w:ascii="Arial" w:hAnsi="Arial" w:cs="Arial"/>
          <w:sz w:val="24"/>
          <w:szCs w:val="24"/>
        </w:rPr>
        <w:t xml:space="preserve"> o objeto seja obra ou s</w:t>
      </w:r>
      <w:r w:rsidR="00235F42" w:rsidRPr="00FD1390">
        <w:rPr>
          <w:rFonts w:ascii="Arial" w:hAnsi="Arial" w:cs="Arial"/>
          <w:sz w:val="24"/>
          <w:szCs w:val="24"/>
        </w:rPr>
        <w:t xml:space="preserve">erviço com dedicação exclusiva de mão de obra, segue </w:t>
      </w:r>
      <w:r w:rsidR="00E27866" w:rsidRPr="00FD1390">
        <w:rPr>
          <w:rFonts w:ascii="Arial" w:hAnsi="Arial" w:cs="Arial"/>
          <w:sz w:val="24"/>
          <w:szCs w:val="24"/>
        </w:rPr>
        <w:t xml:space="preserve">para T04, </w:t>
      </w:r>
      <w:r w:rsidR="00235F42" w:rsidRPr="00FD1390">
        <w:rPr>
          <w:rFonts w:ascii="Arial" w:hAnsi="Arial" w:cs="Arial"/>
          <w:sz w:val="24"/>
          <w:szCs w:val="24"/>
        </w:rPr>
        <w:t xml:space="preserve">do contrário </w:t>
      </w:r>
      <w:r w:rsidR="00E27866" w:rsidRPr="00FD1390">
        <w:rPr>
          <w:rFonts w:ascii="Arial" w:hAnsi="Arial" w:cs="Arial"/>
          <w:sz w:val="24"/>
          <w:szCs w:val="24"/>
        </w:rPr>
        <w:t>para T08.</w:t>
      </w:r>
    </w:p>
    <w:p w:rsidR="009C6446" w:rsidRPr="00FD1390" w:rsidRDefault="009C644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E73" w:rsidRPr="00FD1390" w:rsidRDefault="001A79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T04 – </w:t>
      </w:r>
      <w:r w:rsidR="005D4E73" w:rsidRPr="00FD1390">
        <w:rPr>
          <w:rFonts w:ascii="Arial" w:hAnsi="Arial" w:cs="Arial"/>
          <w:sz w:val="24"/>
          <w:szCs w:val="24"/>
        </w:rPr>
        <w:t xml:space="preserve">Apresentar </w:t>
      </w:r>
      <w:r w:rsidR="00070BC6">
        <w:rPr>
          <w:rFonts w:ascii="Arial" w:hAnsi="Arial" w:cs="Arial"/>
          <w:sz w:val="24"/>
          <w:szCs w:val="24"/>
        </w:rPr>
        <w:t xml:space="preserve">o </w:t>
      </w:r>
      <w:r w:rsidR="005D4E73" w:rsidRPr="00FD1390">
        <w:rPr>
          <w:rFonts w:ascii="Arial" w:hAnsi="Arial" w:cs="Arial"/>
          <w:sz w:val="24"/>
          <w:szCs w:val="24"/>
        </w:rPr>
        <w:t>relatório e documentos comprobatórios</w:t>
      </w:r>
    </w:p>
    <w:p w:rsidR="008B13DA" w:rsidRPr="00FD1390" w:rsidRDefault="008B13D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13DA" w:rsidRPr="00FD1390" w:rsidRDefault="008B13D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Os artigos 55 e 56 da Portaria SEGER/PGE/SECONT Nº 049-R, de 24/08/2010 tratam das obrigações e procedimentos de fiscalização, cabendo destaque ao inciso II, alínea “d” do artigo 56 que trata da exigência mensal de apresentação do RECAE, anexo I da referida Portaria.</w:t>
      </w:r>
    </w:p>
    <w:p w:rsidR="004E704C" w:rsidRPr="00FD1390" w:rsidRDefault="004E704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AB1" w:rsidRPr="00FD1390" w:rsidRDefault="006D0AB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Em contratos cuja execução contemple dedicação exclusiva de mão de obra devem ser entregues pelo contratado, junto com a Nota fiscal/Fatura, o RECAE e documentos que comprovem o cumprimento dos encargos trabalhistas, previdenciários, fiscais e comerciais resultantes da execução do contrato. </w:t>
      </w:r>
    </w:p>
    <w:p w:rsidR="006D0AB1" w:rsidRPr="00FD1390" w:rsidRDefault="006D0AB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704C" w:rsidRPr="00FD1390" w:rsidRDefault="004E704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Nos termos do artigo 56, §5º da Portaria SEGER/PGE/SECONT Nº 049-R, de 24/08/2010, quando do encerramento do contrato, os comprovantes de quitação dos encargos trabalhistas, sociais/previdenciários e fiscais, relativos ao mês-referência do </w:t>
      </w:r>
      <w:r w:rsidRPr="00FD1390">
        <w:rPr>
          <w:rFonts w:ascii="Arial" w:hAnsi="Arial" w:cs="Arial"/>
          <w:sz w:val="24"/>
          <w:szCs w:val="24"/>
        </w:rPr>
        <w:lastRenderedPageBreak/>
        <w:t>faturamento do último mês de vigência do contrato, deverão ser apresentados no prazo de até 30</w:t>
      </w:r>
      <w:r w:rsidR="007F5FFD">
        <w:rPr>
          <w:rFonts w:ascii="Arial" w:hAnsi="Arial" w:cs="Arial"/>
          <w:sz w:val="24"/>
          <w:szCs w:val="24"/>
        </w:rPr>
        <w:t xml:space="preserve"> (trinta) </w:t>
      </w:r>
      <w:r w:rsidRPr="00FD1390">
        <w:rPr>
          <w:rFonts w:ascii="Arial" w:hAnsi="Arial" w:cs="Arial"/>
          <w:sz w:val="24"/>
          <w:szCs w:val="24"/>
        </w:rPr>
        <w:t>dias após a emissão da Nota Fiscal.</w:t>
      </w:r>
    </w:p>
    <w:p w:rsidR="005D4E73" w:rsidRPr="00FD1390" w:rsidRDefault="005D4E7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E73" w:rsidRPr="00FD1390" w:rsidRDefault="001A79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T05 – </w:t>
      </w:r>
      <w:r w:rsidR="005D4E73" w:rsidRPr="00FD1390">
        <w:rPr>
          <w:rFonts w:ascii="Arial" w:hAnsi="Arial" w:cs="Arial"/>
          <w:sz w:val="24"/>
          <w:szCs w:val="24"/>
        </w:rPr>
        <w:t>Verificar conformidade de relatório e documentos comprobatórios</w:t>
      </w:r>
    </w:p>
    <w:p w:rsidR="009437B3" w:rsidRPr="00FD1390" w:rsidRDefault="009437B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AB1" w:rsidRPr="00FD1390" w:rsidRDefault="006D0AB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Caso </w:t>
      </w:r>
      <w:r w:rsidR="00BF2EC8" w:rsidRPr="00FD1390">
        <w:rPr>
          <w:rFonts w:ascii="Arial" w:hAnsi="Arial" w:cs="Arial"/>
          <w:sz w:val="24"/>
          <w:szCs w:val="24"/>
        </w:rPr>
        <w:t>haja conformidade</w:t>
      </w:r>
      <w:r w:rsidR="009B3E39">
        <w:rPr>
          <w:rFonts w:ascii="Arial" w:hAnsi="Arial" w:cs="Arial"/>
          <w:sz w:val="24"/>
          <w:szCs w:val="24"/>
        </w:rPr>
        <w:t>,</w:t>
      </w:r>
      <w:r w:rsidR="00BF2EC8" w:rsidRPr="00FD1390">
        <w:rPr>
          <w:rFonts w:ascii="Arial" w:hAnsi="Arial" w:cs="Arial"/>
          <w:sz w:val="24"/>
          <w:szCs w:val="24"/>
        </w:rPr>
        <w:t xml:space="preserve"> segue </w:t>
      </w:r>
      <w:r w:rsidRPr="00FD1390">
        <w:rPr>
          <w:rFonts w:ascii="Arial" w:hAnsi="Arial" w:cs="Arial"/>
          <w:sz w:val="24"/>
          <w:szCs w:val="24"/>
        </w:rPr>
        <w:t>T08</w:t>
      </w:r>
      <w:r w:rsidR="009B3E39">
        <w:rPr>
          <w:rFonts w:ascii="Arial" w:hAnsi="Arial" w:cs="Arial"/>
          <w:sz w:val="24"/>
          <w:szCs w:val="24"/>
        </w:rPr>
        <w:t>.</w:t>
      </w:r>
      <w:r w:rsidRPr="00FD1390">
        <w:rPr>
          <w:rFonts w:ascii="Arial" w:hAnsi="Arial" w:cs="Arial"/>
          <w:sz w:val="24"/>
          <w:szCs w:val="24"/>
        </w:rPr>
        <w:t xml:space="preserve"> </w:t>
      </w:r>
      <w:r w:rsidR="009B3E39">
        <w:rPr>
          <w:rFonts w:ascii="Arial" w:hAnsi="Arial" w:cs="Arial"/>
          <w:sz w:val="24"/>
          <w:szCs w:val="24"/>
        </w:rPr>
        <w:t>Caso</w:t>
      </w:r>
      <w:r w:rsidRPr="00FD1390">
        <w:rPr>
          <w:rFonts w:ascii="Arial" w:hAnsi="Arial" w:cs="Arial"/>
          <w:sz w:val="24"/>
          <w:szCs w:val="24"/>
        </w:rPr>
        <w:t xml:space="preserve"> contrário</w:t>
      </w:r>
      <w:r w:rsidR="009B3E39">
        <w:rPr>
          <w:rFonts w:ascii="Arial" w:hAnsi="Arial" w:cs="Arial"/>
          <w:sz w:val="24"/>
          <w:szCs w:val="24"/>
        </w:rPr>
        <w:t>, segue</w:t>
      </w:r>
      <w:r w:rsidRPr="00FD1390">
        <w:rPr>
          <w:rFonts w:ascii="Arial" w:hAnsi="Arial" w:cs="Arial"/>
          <w:sz w:val="24"/>
          <w:szCs w:val="24"/>
        </w:rPr>
        <w:t xml:space="preserve"> T06. </w:t>
      </w:r>
    </w:p>
    <w:p w:rsidR="009437B3" w:rsidRPr="00FD1390" w:rsidRDefault="009437B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E73" w:rsidRPr="00FD1390" w:rsidRDefault="001A79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T06 – </w:t>
      </w:r>
      <w:r w:rsidR="005D4E73" w:rsidRPr="00FD1390">
        <w:rPr>
          <w:rFonts w:ascii="Arial" w:hAnsi="Arial" w:cs="Arial"/>
          <w:sz w:val="24"/>
          <w:szCs w:val="24"/>
        </w:rPr>
        <w:t>Notificar a desconformidade e solicitar documentação pendente</w:t>
      </w:r>
    </w:p>
    <w:p w:rsidR="005D4E73" w:rsidRPr="00FD1390" w:rsidRDefault="005D4E7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E73" w:rsidRPr="00FD1390" w:rsidRDefault="005D4E7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Caso a documentação entregue não esteja em conformidade, a contratada será comunicada para sanar eventuais irregularidades, ofertando-se prazo para tanto (Artigo 51, XI da Portaria SEGER/PGE/SECONT Nº 049-R, de 24/08/2010).</w:t>
      </w:r>
    </w:p>
    <w:p w:rsidR="005D4E73" w:rsidRPr="00FD1390" w:rsidRDefault="005D4E73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A4E" w:rsidRPr="00FD1390" w:rsidRDefault="001A79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T07 – </w:t>
      </w:r>
      <w:r w:rsidR="00414A4E" w:rsidRPr="00FD1390">
        <w:rPr>
          <w:rFonts w:ascii="Arial" w:hAnsi="Arial" w:cs="Arial"/>
          <w:sz w:val="24"/>
          <w:szCs w:val="24"/>
        </w:rPr>
        <w:t>Entregar documentação pendente</w:t>
      </w:r>
    </w:p>
    <w:p w:rsidR="00414A4E" w:rsidRPr="00FD1390" w:rsidRDefault="00414A4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79FC" w:rsidRPr="00FD1390" w:rsidRDefault="00906505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Na hipótese de o contratado descumprir essa </w:t>
      </w:r>
      <w:r w:rsidR="00E579FC" w:rsidRPr="00FD1390">
        <w:rPr>
          <w:rFonts w:ascii="Arial" w:hAnsi="Arial" w:cs="Arial"/>
          <w:sz w:val="24"/>
          <w:szCs w:val="24"/>
        </w:rPr>
        <w:t>obrigação, a administração deverá promover a retenção dos créditos decorrentes do contrato e iniciar processo para aplicação de sanção administrativa prevista em edital e instrum</w:t>
      </w:r>
      <w:r w:rsidRPr="00FD1390">
        <w:rPr>
          <w:rFonts w:ascii="Arial" w:hAnsi="Arial" w:cs="Arial"/>
          <w:sz w:val="24"/>
          <w:szCs w:val="24"/>
        </w:rPr>
        <w:t xml:space="preserve">ento contratual, ou até mesmo </w:t>
      </w:r>
      <w:r w:rsidR="00E579FC" w:rsidRPr="00FD1390">
        <w:rPr>
          <w:rFonts w:ascii="Arial" w:hAnsi="Arial" w:cs="Arial"/>
          <w:sz w:val="24"/>
          <w:szCs w:val="24"/>
        </w:rPr>
        <w:t>rescisão contratual</w:t>
      </w:r>
      <w:r w:rsidRPr="00FD1390">
        <w:rPr>
          <w:rFonts w:ascii="Arial" w:hAnsi="Arial" w:cs="Arial"/>
          <w:sz w:val="24"/>
          <w:szCs w:val="24"/>
        </w:rPr>
        <w:t>, nos termos do a</w:t>
      </w:r>
      <w:r w:rsidR="00E579FC" w:rsidRPr="00FD1390">
        <w:rPr>
          <w:rFonts w:ascii="Arial" w:hAnsi="Arial" w:cs="Arial"/>
          <w:sz w:val="24"/>
          <w:szCs w:val="24"/>
        </w:rPr>
        <w:t>rtigo 57 da Portaria SEGER/PGE/SECONT Nº 049-R, de 24/08/2010.</w:t>
      </w:r>
    </w:p>
    <w:p w:rsidR="00E579FC" w:rsidRPr="00FD1390" w:rsidRDefault="00E579F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79FC" w:rsidRPr="00FD1390" w:rsidRDefault="00E579F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Em relação à retenção dos créditos e</w:t>
      </w:r>
      <w:r w:rsidR="006D0AB1" w:rsidRPr="00FD1390">
        <w:rPr>
          <w:rFonts w:ascii="Arial" w:hAnsi="Arial" w:cs="Arial"/>
          <w:sz w:val="24"/>
          <w:szCs w:val="24"/>
        </w:rPr>
        <w:t xml:space="preserve"> o</w:t>
      </w:r>
      <w:r w:rsidRPr="00FD1390">
        <w:rPr>
          <w:rFonts w:ascii="Arial" w:hAnsi="Arial" w:cs="Arial"/>
          <w:sz w:val="24"/>
          <w:szCs w:val="24"/>
        </w:rPr>
        <w:t xml:space="preserve"> pagamento dir</w:t>
      </w:r>
      <w:r w:rsidR="006D0AB1" w:rsidRPr="00FD1390">
        <w:rPr>
          <w:rFonts w:ascii="Arial" w:hAnsi="Arial" w:cs="Arial"/>
          <w:sz w:val="24"/>
          <w:szCs w:val="24"/>
        </w:rPr>
        <w:t xml:space="preserve">eto aos trabalhadores, observar </w:t>
      </w:r>
      <w:r w:rsidRPr="00FD1390">
        <w:rPr>
          <w:rFonts w:ascii="Arial" w:hAnsi="Arial" w:cs="Arial"/>
          <w:sz w:val="24"/>
          <w:szCs w:val="24"/>
        </w:rPr>
        <w:t xml:space="preserve">o disposto no artigo 75 da Portaria SEGER/PGE/SECONT Nº 049-R, de 24/08/2010, além do </w:t>
      </w:r>
      <w:r w:rsidR="006D0AB1" w:rsidRPr="00FD1390">
        <w:rPr>
          <w:rFonts w:ascii="Arial" w:hAnsi="Arial" w:cs="Arial"/>
          <w:sz w:val="24"/>
          <w:szCs w:val="24"/>
        </w:rPr>
        <w:t>próprio</w:t>
      </w:r>
      <w:r w:rsidRPr="00FD1390">
        <w:rPr>
          <w:rFonts w:ascii="Arial" w:hAnsi="Arial" w:cs="Arial"/>
          <w:sz w:val="24"/>
          <w:szCs w:val="24"/>
        </w:rPr>
        <w:t xml:space="preserve"> instrumento contratual. </w:t>
      </w:r>
    </w:p>
    <w:p w:rsidR="00E579FC" w:rsidRPr="00FD1390" w:rsidRDefault="00E579F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19D" w:rsidRPr="00FD1390" w:rsidRDefault="0050719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T08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4E02BB">
        <w:rPr>
          <w:rFonts w:ascii="Arial" w:hAnsi="Arial" w:cs="Arial"/>
          <w:sz w:val="24"/>
          <w:szCs w:val="24"/>
        </w:rPr>
        <w:t xml:space="preserve">Atestar </w:t>
      </w:r>
      <w:r w:rsidR="00070BC6">
        <w:rPr>
          <w:rFonts w:ascii="Arial" w:hAnsi="Arial" w:cs="Arial"/>
          <w:sz w:val="24"/>
          <w:szCs w:val="24"/>
        </w:rPr>
        <w:t xml:space="preserve">a </w:t>
      </w:r>
      <w:r w:rsidR="004E02BB">
        <w:rPr>
          <w:rFonts w:ascii="Arial" w:hAnsi="Arial" w:cs="Arial"/>
          <w:sz w:val="24"/>
          <w:szCs w:val="24"/>
        </w:rPr>
        <w:t>n</w:t>
      </w:r>
      <w:r w:rsidRPr="00FD1390">
        <w:rPr>
          <w:rFonts w:ascii="Arial" w:hAnsi="Arial" w:cs="Arial"/>
          <w:sz w:val="24"/>
          <w:szCs w:val="24"/>
        </w:rPr>
        <w:t>ota fiscal/</w:t>
      </w:r>
      <w:r w:rsidR="004E02BB">
        <w:rPr>
          <w:rFonts w:ascii="Arial" w:hAnsi="Arial" w:cs="Arial"/>
          <w:sz w:val="24"/>
          <w:szCs w:val="24"/>
        </w:rPr>
        <w:t>f</w:t>
      </w:r>
      <w:r w:rsidRPr="00FD1390">
        <w:rPr>
          <w:rFonts w:ascii="Arial" w:hAnsi="Arial" w:cs="Arial"/>
          <w:sz w:val="24"/>
          <w:szCs w:val="24"/>
        </w:rPr>
        <w:t>atura</w:t>
      </w:r>
    </w:p>
    <w:p w:rsidR="0050719D" w:rsidRPr="00FD1390" w:rsidRDefault="0050719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79FC" w:rsidRPr="00FD1390" w:rsidRDefault="00E579F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T0</w:t>
      </w:r>
      <w:r w:rsidR="0050719D" w:rsidRPr="00FD1390">
        <w:rPr>
          <w:rFonts w:ascii="Arial" w:hAnsi="Arial" w:cs="Arial"/>
          <w:sz w:val="24"/>
          <w:szCs w:val="24"/>
        </w:rPr>
        <w:t>9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Pr="00FD1390">
        <w:rPr>
          <w:rFonts w:ascii="Arial" w:hAnsi="Arial" w:cs="Arial"/>
          <w:sz w:val="24"/>
          <w:szCs w:val="24"/>
        </w:rPr>
        <w:t xml:space="preserve">Conferir </w:t>
      </w:r>
      <w:r w:rsidR="00070BC6">
        <w:rPr>
          <w:rFonts w:ascii="Arial" w:hAnsi="Arial" w:cs="Arial"/>
          <w:sz w:val="24"/>
          <w:szCs w:val="24"/>
        </w:rPr>
        <w:t xml:space="preserve">a </w:t>
      </w:r>
      <w:r w:rsidRPr="00FD1390">
        <w:rPr>
          <w:rFonts w:ascii="Arial" w:hAnsi="Arial" w:cs="Arial"/>
          <w:sz w:val="24"/>
          <w:szCs w:val="24"/>
        </w:rPr>
        <w:t>regularidade fiscal e trabalhista</w:t>
      </w:r>
    </w:p>
    <w:p w:rsidR="00E579FC" w:rsidRPr="00FD1390" w:rsidRDefault="00E579FC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221" w:rsidRPr="00FD1390" w:rsidRDefault="00194221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Nos termos do artigo 57 da Portaria SEGER/PGE/SECONT Nº 049-R, de 24/08/2010, será exigida do </w:t>
      </w:r>
      <w:r w:rsidR="00E579FC" w:rsidRPr="00FD1390">
        <w:rPr>
          <w:rFonts w:ascii="Arial" w:hAnsi="Arial" w:cs="Arial"/>
          <w:sz w:val="24"/>
          <w:szCs w:val="24"/>
        </w:rPr>
        <w:t>contratado</w:t>
      </w:r>
      <w:r w:rsidRPr="00FD1390">
        <w:rPr>
          <w:rFonts w:ascii="Arial" w:hAnsi="Arial" w:cs="Arial"/>
          <w:sz w:val="24"/>
          <w:szCs w:val="24"/>
        </w:rPr>
        <w:t xml:space="preserve"> a manutenção das condições de habilitação, em especial da regularidade fiscal e trabalhista.</w:t>
      </w:r>
    </w:p>
    <w:p w:rsidR="00194221" w:rsidRDefault="00457D81" w:rsidP="00FD1390">
      <w:pPr>
        <w:pStyle w:val="N11"/>
        <w:numPr>
          <w:ilvl w:val="0"/>
          <w:numId w:val="0"/>
        </w:numPr>
        <w:spacing w:before="0" w:after="0"/>
        <w:rPr>
          <w:rFonts w:cs="Arial"/>
          <w:szCs w:val="24"/>
        </w:rPr>
      </w:pPr>
      <w:r w:rsidRPr="00FD1390">
        <w:rPr>
          <w:rFonts w:cs="Arial"/>
          <w:szCs w:val="24"/>
        </w:rPr>
        <w:t>D</w:t>
      </w:r>
      <w:r w:rsidR="009C6446" w:rsidRPr="00FD1390">
        <w:rPr>
          <w:rFonts w:cs="Arial"/>
          <w:szCs w:val="24"/>
        </w:rPr>
        <w:t xml:space="preserve">iante da </w:t>
      </w:r>
      <w:r w:rsidR="004E704C" w:rsidRPr="00FD1390">
        <w:rPr>
          <w:rFonts w:cs="Arial"/>
          <w:szCs w:val="24"/>
        </w:rPr>
        <w:t>superveniente</w:t>
      </w:r>
      <w:r w:rsidR="009C6446" w:rsidRPr="00FD1390">
        <w:rPr>
          <w:rFonts w:cs="Arial"/>
          <w:szCs w:val="24"/>
        </w:rPr>
        <w:t xml:space="preserve"> irregularidade </w:t>
      </w:r>
      <w:r w:rsidR="009C6446" w:rsidRPr="00AF5501">
        <w:rPr>
          <w:rFonts w:cs="Arial"/>
          <w:szCs w:val="24"/>
        </w:rPr>
        <w:t>fiscal ou trabalhista</w:t>
      </w:r>
      <w:r w:rsidR="009C6446" w:rsidRPr="00FD1390">
        <w:rPr>
          <w:rFonts w:cs="Arial"/>
          <w:szCs w:val="24"/>
        </w:rPr>
        <w:t xml:space="preserve">, a administração deverá adotar as providências cabíveis, previstas no instrumento convocatório e/ou contratual, atentando para </w:t>
      </w:r>
      <w:r w:rsidR="00194221" w:rsidRPr="00FD1390">
        <w:rPr>
          <w:rFonts w:cs="Arial"/>
          <w:szCs w:val="24"/>
        </w:rPr>
        <w:t>o procedimento de aplicação de sanções, no sentido de notificar o contratado para regularização e apresentação de defesa prévia</w:t>
      </w:r>
      <w:r w:rsidR="009C6446" w:rsidRPr="00FD1390">
        <w:rPr>
          <w:rFonts w:cs="Arial"/>
          <w:szCs w:val="24"/>
        </w:rPr>
        <w:t>. E</w:t>
      </w:r>
      <w:r w:rsidR="00194221" w:rsidRPr="00FD1390">
        <w:rPr>
          <w:rFonts w:cs="Arial"/>
          <w:szCs w:val="24"/>
        </w:rPr>
        <w:t>, ainda que não comprovada a regularidade</w:t>
      </w:r>
      <w:r w:rsidR="00AF5501">
        <w:rPr>
          <w:rFonts w:cs="Arial"/>
          <w:szCs w:val="24"/>
        </w:rPr>
        <w:t xml:space="preserve"> fiscal</w:t>
      </w:r>
      <w:r w:rsidR="00194221" w:rsidRPr="00FD1390">
        <w:rPr>
          <w:rFonts w:cs="Arial"/>
          <w:szCs w:val="24"/>
        </w:rPr>
        <w:t xml:space="preserve"> e que não seja aceita a defesa apresentada, o pagamento será efetuado, sem prejuízo da tramitação do procedimento de aplicação de sanções</w:t>
      </w:r>
      <w:r w:rsidR="009C6446" w:rsidRPr="00FD1390">
        <w:rPr>
          <w:rFonts w:cs="Arial"/>
          <w:szCs w:val="24"/>
        </w:rPr>
        <w:t xml:space="preserve">. </w:t>
      </w:r>
    </w:p>
    <w:p w:rsidR="001A792E" w:rsidRPr="00FD1390" w:rsidRDefault="001A792E" w:rsidP="00FD1390">
      <w:pPr>
        <w:pStyle w:val="N11"/>
        <w:numPr>
          <w:ilvl w:val="0"/>
          <w:numId w:val="0"/>
        </w:numPr>
        <w:spacing w:before="0" w:after="0"/>
        <w:rPr>
          <w:rFonts w:cs="Arial"/>
          <w:szCs w:val="24"/>
        </w:rPr>
      </w:pPr>
    </w:p>
    <w:p w:rsidR="00510CE1" w:rsidRDefault="001A792E" w:rsidP="00FD1390">
      <w:pPr>
        <w:pStyle w:val="N11"/>
        <w:numPr>
          <w:ilvl w:val="0"/>
          <w:numId w:val="0"/>
        </w:numPr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 xml:space="preserve">T10 – </w:t>
      </w:r>
      <w:r w:rsidR="009C6446" w:rsidRPr="00FD1390">
        <w:rPr>
          <w:rFonts w:cs="Arial"/>
          <w:szCs w:val="24"/>
        </w:rPr>
        <w:t>Solicitar</w:t>
      </w:r>
      <w:r w:rsidR="00070BC6">
        <w:rPr>
          <w:rFonts w:cs="Arial"/>
          <w:szCs w:val="24"/>
        </w:rPr>
        <w:t xml:space="preserve"> o</w:t>
      </w:r>
      <w:r w:rsidR="009C6446" w:rsidRPr="00FD1390">
        <w:rPr>
          <w:rFonts w:cs="Arial"/>
          <w:szCs w:val="24"/>
        </w:rPr>
        <w:t xml:space="preserve"> pagamento</w:t>
      </w:r>
    </w:p>
    <w:p w:rsidR="001A792E" w:rsidRPr="00FD1390" w:rsidRDefault="001A792E" w:rsidP="00FD1390">
      <w:pPr>
        <w:pStyle w:val="N11"/>
        <w:numPr>
          <w:ilvl w:val="0"/>
          <w:numId w:val="0"/>
        </w:numPr>
        <w:spacing w:before="0" w:after="0"/>
        <w:rPr>
          <w:rFonts w:cs="Arial"/>
          <w:szCs w:val="24"/>
        </w:rPr>
      </w:pPr>
    </w:p>
    <w:p w:rsidR="00414A4E" w:rsidRPr="00FD1390" w:rsidRDefault="00414A4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T1</w:t>
      </w:r>
      <w:r w:rsidR="009C6446" w:rsidRPr="00FD1390">
        <w:rPr>
          <w:rFonts w:ascii="Arial" w:hAnsi="Arial" w:cs="Arial"/>
          <w:sz w:val="24"/>
          <w:szCs w:val="24"/>
        </w:rPr>
        <w:t>1</w:t>
      </w:r>
      <w:r w:rsidR="001A792E">
        <w:rPr>
          <w:rFonts w:ascii="Arial" w:hAnsi="Arial" w:cs="Arial"/>
          <w:sz w:val="24"/>
          <w:szCs w:val="24"/>
        </w:rPr>
        <w:t xml:space="preserve"> – </w:t>
      </w:r>
      <w:r w:rsidR="009C6446" w:rsidRPr="00FD1390">
        <w:rPr>
          <w:rFonts w:ascii="Arial" w:hAnsi="Arial" w:cs="Arial"/>
          <w:sz w:val="24"/>
          <w:szCs w:val="24"/>
        </w:rPr>
        <w:t>Autorizar</w:t>
      </w:r>
      <w:r w:rsidR="00070BC6">
        <w:rPr>
          <w:rFonts w:ascii="Arial" w:hAnsi="Arial" w:cs="Arial"/>
          <w:sz w:val="24"/>
          <w:szCs w:val="24"/>
        </w:rPr>
        <w:t xml:space="preserve"> o</w:t>
      </w:r>
      <w:r w:rsidR="009C6446" w:rsidRPr="00FD1390">
        <w:rPr>
          <w:rFonts w:ascii="Arial" w:hAnsi="Arial" w:cs="Arial"/>
          <w:sz w:val="24"/>
          <w:szCs w:val="24"/>
        </w:rPr>
        <w:t xml:space="preserve"> pagamento</w:t>
      </w:r>
    </w:p>
    <w:p w:rsidR="00414A4E" w:rsidRPr="00FD1390" w:rsidRDefault="00414A4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E139B" w:rsidRPr="00FD1390" w:rsidRDefault="001A792E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T12 </w:t>
      </w:r>
      <w:r w:rsidR="0062153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B50CD" w:rsidRPr="00FD1390">
        <w:rPr>
          <w:rFonts w:ascii="Arial" w:hAnsi="Arial" w:cs="Arial"/>
          <w:sz w:val="24"/>
          <w:szCs w:val="24"/>
        </w:rPr>
        <w:t xml:space="preserve">Realizar </w:t>
      </w:r>
      <w:r w:rsidR="00070BC6">
        <w:rPr>
          <w:rFonts w:ascii="Arial" w:hAnsi="Arial" w:cs="Arial"/>
          <w:sz w:val="24"/>
          <w:szCs w:val="24"/>
        </w:rPr>
        <w:t xml:space="preserve">as </w:t>
      </w:r>
      <w:r w:rsidR="00BB50CD" w:rsidRPr="00FD1390">
        <w:rPr>
          <w:rFonts w:ascii="Arial" w:hAnsi="Arial" w:cs="Arial"/>
          <w:sz w:val="24"/>
          <w:szCs w:val="24"/>
        </w:rPr>
        <w:t>conferê</w:t>
      </w:r>
      <w:r w:rsidR="009C6446" w:rsidRPr="00FD1390">
        <w:rPr>
          <w:rFonts w:ascii="Arial" w:hAnsi="Arial" w:cs="Arial"/>
          <w:sz w:val="24"/>
          <w:szCs w:val="24"/>
        </w:rPr>
        <w:t>ncias</w:t>
      </w:r>
      <w:r w:rsidR="00496E0E" w:rsidRPr="00FD1390">
        <w:rPr>
          <w:rFonts w:ascii="Arial" w:hAnsi="Arial" w:cs="Arial"/>
          <w:sz w:val="24"/>
          <w:szCs w:val="24"/>
        </w:rPr>
        <w:t>, retenções e recolhimentos</w:t>
      </w:r>
      <w:r w:rsidR="009C6446" w:rsidRPr="00FD1390">
        <w:rPr>
          <w:rFonts w:ascii="Arial" w:hAnsi="Arial" w:cs="Arial"/>
          <w:sz w:val="24"/>
          <w:szCs w:val="24"/>
        </w:rPr>
        <w:t xml:space="preserve"> cabíveis  </w:t>
      </w:r>
    </w:p>
    <w:p w:rsidR="004C0030" w:rsidRPr="00FD1390" w:rsidRDefault="004C0030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719D" w:rsidRDefault="0050719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Considerando o disposto na Lei Estadual 5.383/1997 e no Decreto Estadual 1.938-R/2007, os pagamentos devidos pela contratante só poderão ser efetuados após o contratado apresentar relatório especificado (RECAE) acompanhado de comprovantes de quitação pelos encargos trabalhistas, previdenciários, fiscais e </w:t>
      </w:r>
      <w:r w:rsidRPr="00FD1390">
        <w:rPr>
          <w:rFonts w:ascii="Arial" w:hAnsi="Arial" w:cs="Arial"/>
          <w:sz w:val="24"/>
          <w:szCs w:val="24"/>
        </w:rPr>
        <w:lastRenderedPageBreak/>
        <w:t>comerciais resultantes da execução do contrato,</w:t>
      </w:r>
      <w:r w:rsidR="00E856F7">
        <w:rPr>
          <w:rFonts w:ascii="Arial" w:hAnsi="Arial" w:cs="Arial"/>
          <w:sz w:val="24"/>
          <w:szCs w:val="24"/>
        </w:rPr>
        <w:t xml:space="preserve"> bem como declaração formal do c</w:t>
      </w:r>
      <w:r w:rsidRPr="00FD1390">
        <w:rPr>
          <w:rFonts w:ascii="Arial" w:hAnsi="Arial" w:cs="Arial"/>
          <w:sz w:val="24"/>
          <w:szCs w:val="24"/>
        </w:rPr>
        <w:t>ontratado, sob as penas da Lei, de que se encontra em regularidade quanto a essas despesas.</w:t>
      </w:r>
    </w:p>
    <w:p w:rsidR="00B3754A" w:rsidRDefault="00B3754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754A" w:rsidRPr="006F52B1" w:rsidRDefault="00B3754A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2B1">
        <w:rPr>
          <w:rFonts w:ascii="Arial" w:hAnsi="Arial" w:cs="Arial"/>
          <w:sz w:val="24"/>
          <w:szCs w:val="24"/>
        </w:rPr>
        <w:t xml:space="preserve">O setor financeiro deve </w:t>
      </w:r>
      <w:r w:rsidR="00CF6A76" w:rsidRPr="006F52B1">
        <w:rPr>
          <w:rFonts w:ascii="Arial" w:hAnsi="Arial" w:cs="Arial"/>
          <w:sz w:val="24"/>
          <w:szCs w:val="24"/>
        </w:rPr>
        <w:t xml:space="preserve">realizar </w:t>
      </w:r>
      <w:r w:rsidRPr="006F52B1">
        <w:rPr>
          <w:rFonts w:ascii="Arial" w:hAnsi="Arial" w:cs="Arial"/>
          <w:sz w:val="24"/>
          <w:szCs w:val="24"/>
        </w:rPr>
        <w:t>o registro da liquidação no SIGEFES, antes d</w:t>
      </w:r>
      <w:r w:rsidR="00CF6A76" w:rsidRPr="006F52B1">
        <w:rPr>
          <w:rFonts w:ascii="Arial" w:hAnsi="Arial" w:cs="Arial"/>
          <w:sz w:val="24"/>
          <w:szCs w:val="24"/>
        </w:rPr>
        <w:t>e efetuar o</w:t>
      </w:r>
      <w:r w:rsidRPr="006F52B1">
        <w:rPr>
          <w:rFonts w:ascii="Arial" w:hAnsi="Arial" w:cs="Arial"/>
          <w:sz w:val="24"/>
          <w:szCs w:val="24"/>
        </w:rPr>
        <w:t xml:space="preserve"> pagamento.</w:t>
      </w:r>
    </w:p>
    <w:p w:rsidR="0050719D" w:rsidRPr="006F52B1" w:rsidRDefault="0050719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19D" w:rsidRPr="006F52B1" w:rsidRDefault="00BF2EC8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2B1">
        <w:rPr>
          <w:rFonts w:ascii="Arial" w:hAnsi="Arial" w:cs="Arial"/>
          <w:sz w:val="24"/>
          <w:szCs w:val="24"/>
        </w:rPr>
        <w:t xml:space="preserve">Observar o artigo </w:t>
      </w:r>
      <w:r w:rsidR="0050719D" w:rsidRPr="006F52B1">
        <w:rPr>
          <w:rFonts w:ascii="Arial" w:hAnsi="Arial" w:cs="Arial"/>
          <w:sz w:val="24"/>
          <w:szCs w:val="24"/>
        </w:rPr>
        <w:t>73, §2º</w:t>
      </w:r>
      <w:r w:rsidRPr="006F52B1">
        <w:rPr>
          <w:rFonts w:ascii="Arial" w:hAnsi="Arial" w:cs="Arial"/>
          <w:sz w:val="24"/>
          <w:szCs w:val="24"/>
        </w:rPr>
        <w:t xml:space="preserve"> da Portaria SEGER/PGE/SECONT Nº 049-R, de 24/08/2010.</w:t>
      </w:r>
    </w:p>
    <w:p w:rsidR="0050719D" w:rsidRPr="006F52B1" w:rsidRDefault="0050719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446" w:rsidRPr="006F52B1" w:rsidRDefault="00621532" w:rsidP="00FD1390">
      <w:pPr>
        <w:tabs>
          <w:tab w:val="left" w:pos="9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2B1">
        <w:rPr>
          <w:rFonts w:ascii="Arial" w:hAnsi="Arial" w:cs="Arial"/>
          <w:sz w:val="24"/>
          <w:szCs w:val="24"/>
        </w:rPr>
        <w:t xml:space="preserve">T13 – </w:t>
      </w:r>
      <w:r w:rsidR="009C6446" w:rsidRPr="006F52B1">
        <w:rPr>
          <w:rFonts w:ascii="Arial" w:hAnsi="Arial" w:cs="Arial"/>
          <w:sz w:val="24"/>
          <w:szCs w:val="24"/>
        </w:rPr>
        <w:t xml:space="preserve">Realizar </w:t>
      </w:r>
      <w:r w:rsidR="00070BC6">
        <w:rPr>
          <w:rFonts w:ascii="Arial" w:hAnsi="Arial" w:cs="Arial"/>
          <w:sz w:val="24"/>
          <w:szCs w:val="24"/>
        </w:rPr>
        <w:t xml:space="preserve">o </w:t>
      </w:r>
      <w:r w:rsidR="009C6446" w:rsidRPr="006F52B1">
        <w:rPr>
          <w:rFonts w:ascii="Arial" w:hAnsi="Arial" w:cs="Arial"/>
          <w:sz w:val="24"/>
          <w:szCs w:val="24"/>
        </w:rPr>
        <w:t>pagamento</w:t>
      </w:r>
    </w:p>
    <w:p w:rsidR="009C6446" w:rsidRPr="006F52B1" w:rsidRDefault="009C6446" w:rsidP="00FD1390">
      <w:pPr>
        <w:tabs>
          <w:tab w:val="left" w:pos="9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19D" w:rsidRPr="006F52B1" w:rsidRDefault="0050719D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2B1">
        <w:rPr>
          <w:rFonts w:ascii="Arial" w:hAnsi="Arial" w:cs="Arial"/>
          <w:sz w:val="24"/>
          <w:szCs w:val="24"/>
        </w:rPr>
        <w:t xml:space="preserve">De acordo com o artigo 76 da Portaria SEGER/PGE/SECONT Nº 049-R, de 24/08/2010, o prazo para pagamento da Nota Fiscal/Fatura, devidamente atestada pela Administração, não deverá ser superior a </w:t>
      </w:r>
      <w:r w:rsidR="00E856F7" w:rsidRPr="006F52B1">
        <w:rPr>
          <w:rFonts w:ascii="Arial" w:hAnsi="Arial" w:cs="Arial"/>
          <w:sz w:val="24"/>
          <w:szCs w:val="24"/>
        </w:rPr>
        <w:t>0</w:t>
      </w:r>
      <w:r w:rsidRPr="006F52B1">
        <w:rPr>
          <w:rFonts w:ascii="Arial" w:hAnsi="Arial" w:cs="Arial"/>
          <w:sz w:val="24"/>
          <w:szCs w:val="24"/>
        </w:rPr>
        <w:t>5 (cinco) dias úteis, contados da data de sua regular apresentação, na inexistência de outra regra contratual.</w:t>
      </w:r>
    </w:p>
    <w:p w:rsidR="003119BF" w:rsidRPr="006F52B1" w:rsidRDefault="003119B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19BF" w:rsidRDefault="00D9109B" w:rsidP="00311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2B1">
        <w:rPr>
          <w:rFonts w:ascii="Arial" w:hAnsi="Arial" w:cs="Arial"/>
          <w:sz w:val="24"/>
          <w:szCs w:val="24"/>
        </w:rPr>
        <w:t>Conforme determina o artigo 77, da mesma Portaria, n</w:t>
      </w:r>
      <w:r w:rsidR="003119BF" w:rsidRPr="006F52B1">
        <w:rPr>
          <w:rFonts w:ascii="Arial" w:hAnsi="Arial" w:cs="Arial"/>
          <w:sz w:val="24"/>
          <w:szCs w:val="24"/>
        </w:rPr>
        <w:t>o pagamento de obrigações pecuniárias decorrentes de contrato, cada unidade gestora executora da Administração deve obedecer, para cada fonte diferenciada de recursos, a estrita ordem cronológica das datas de sua exigibilidade, salvo quando presentes relevantes razões de interesse público e mediante prévia justificativa da autoridade competente, devidamente publicada na imprensa oficial.</w:t>
      </w:r>
    </w:p>
    <w:p w:rsidR="00D9109B" w:rsidRDefault="00D9109B" w:rsidP="00311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5F87" w:rsidRPr="00FD1390" w:rsidRDefault="00621532" w:rsidP="00FD1390">
      <w:pPr>
        <w:tabs>
          <w:tab w:val="left" w:pos="9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T14 – </w:t>
      </w:r>
      <w:r w:rsidR="009C6446" w:rsidRPr="00FD1390">
        <w:rPr>
          <w:rFonts w:ascii="Arial" w:hAnsi="Arial" w:cs="Arial"/>
          <w:sz w:val="24"/>
          <w:szCs w:val="24"/>
        </w:rPr>
        <w:t xml:space="preserve">Tomar ciência do pagamento </w:t>
      </w:r>
      <w:r w:rsidR="00FC5F87" w:rsidRPr="00FD1390">
        <w:rPr>
          <w:rFonts w:ascii="Arial" w:hAnsi="Arial" w:cs="Arial"/>
          <w:sz w:val="24"/>
          <w:szCs w:val="24"/>
        </w:rPr>
        <w:t>e acompanhar o saldo contratual</w:t>
      </w:r>
    </w:p>
    <w:p w:rsidR="00FC5F87" w:rsidRPr="00FD1390" w:rsidRDefault="00FC5F87" w:rsidP="00FD1390">
      <w:pPr>
        <w:tabs>
          <w:tab w:val="left" w:pos="9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C6446" w:rsidRDefault="006218C2" w:rsidP="00FD1390">
      <w:pPr>
        <w:tabs>
          <w:tab w:val="left" w:pos="9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Considerando o disposto no artigo 1º, VII e VIII</w:t>
      </w:r>
      <w:r w:rsidR="00A035E4" w:rsidRPr="00FD1390">
        <w:rPr>
          <w:rFonts w:ascii="Arial" w:hAnsi="Arial" w:cs="Arial"/>
          <w:sz w:val="24"/>
          <w:szCs w:val="24"/>
        </w:rPr>
        <w:t xml:space="preserve"> da Portaria SEGER/PGE/SECONT Nº 049-R</w:t>
      </w:r>
      <w:r w:rsidR="004A459E" w:rsidRPr="00FD1390">
        <w:rPr>
          <w:rFonts w:ascii="Arial" w:hAnsi="Arial" w:cs="Arial"/>
          <w:sz w:val="24"/>
          <w:szCs w:val="24"/>
        </w:rPr>
        <w:t xml:space="preserve"> deverá o gestor realizar </w:t>
      </w:r>
      <w:r w:rsidR="00A035E4" w:rsidRPr="00FD1390">
        <w:rPr>
          <w:rFonts w:ascii="Arial" w:hAnsi="Arial" w:cs="Arial"/>
          <w:sz w:val="24"/>
          <w:szCs w:val="24"/>
        </w:rPr>
        <w:t xml:space="preserve">o acompanhamento da execução, inclusive quanto ao </w:t>
      </w:r>
      <w:r w:rsidRPr="00FD1390">
        <w:rPr>
          <w:rFonts w:ascii="Arial" w:hAnsi="Arial" w:cs="Arial"/>
          <w:sz w:val="24"/>
          <w:szCs w:val="24"/>
        </w:rPr>
        <w:t xml:space="preserve"> </w:t>
      </w:r>
      <w:r w:rsidR="009C6446" w:rsidRPr="00FD1390">
        <w:rPr>
          <w:rFonts w:ascii="Arial" w:hAnsi="Arial" w:cs="Arial"/>
          <w:sz w:val="24"/>
          <w:szCs w:val="24"/>
        </w:rPr>
        <w:t xml:space="preserve"> saldo</w:t>
      </w:r>
      <w:r w:rsidR="00D1302B" w:rsidRPr="00FD1390">
        <w:rPr>
          <w:rFonts w:ascii="Arial" w:hAnsi="Arial" w:cs="Arial"/>
          <w:sz w:val="24"/>
          <w:szCs w:val="24"/>
        </w:rPr>
        <w:t>, se houver</w:t>
      </w:r>
      <w:r w:rsidR="00A035E4" w:rsidRPr="00FD1390">
        <w:rPr>
          <w:rFonts w:ascii="Arial" w:hAnsi="Arial" w:cs="Arial"/>
          <w:sz w:val="24"/>
          <w:szCs w:val="24"/>
        </w:rPr>
        <w:t>.</w:t>
      </w:r>
    </w:p>
    <w:p w:rsidR="00621532" w:rsidRPr="00FD1390" w:rsidRDefault="00621532" w:rsidP="00FD1390">
      <w:pPr>
        <w:tabs>
          <w:tab w:val="left" w:pos="9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446" w:rsidRPr="00FD1390" w:rsidRDefault="00621532" w:rsidP="00FD1390">
      <w:pPr>
        <w:tabs>
          <w:tab w:val="left" w:pos="99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T15 – </w:t>
      </w:r>
      <w:r w:rsidR="009C6446" w:rsidRPr="00FD1390">
        <w:rPr>
          <w:rFonts w:ascii="Arial" w:hAnsi="Arial" w:cs="Arial"/>
          <w:sz w:val="24"/>
          <w:szCs w:val="24"/>
        </w:rPr>
        <w:t>Cadastrar no Módulo de Contratos (SIGA)</w:t>
      </w:r>
    </w:p>
    <w:p w:rsidR="009C6446" w:rsidRPr="00FD1390" w:rsidRDefault="009C6446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302B" w:rsidRPr="00FD1390" w:rsidRDefault="00D1302B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Os atos e os procedimentos relativos à execução, acompanhamento e fiscalização do Termo de Contrato ou instrumentos equivalentes deverão ser realizados no Sistema Integrado de Gestão Administrativa – SIGA, por meio do </w:t>
      </w:r>
      <w:r w:rsidR="001109A5" w:rsidRPr="00FD1390">
        <w:rPr>
          <w:rFonts w:ascii="Arial" w:hAnsi="Arial" w:cs="Arial"/>
          <w:sz w:val="24"/>
          <w:szCs w:val="24"/>
        </w:rPr>
        <w:t>Módulo de Contratos, inclusive ao pagamento</w:t>
      </w:r>
      <w:r w:rsidRPr="00FD1390">
        <w:rPr>
          <w:rFonts w:ascii="Arial" w:hAnsi="Arial" w:cs="Arial"/>
          <w:sz w:val="24"/>
          <w:szCs w:val="24"/>
        </w:rPr>
        <w:t xml:space="preserve">. Os atos que não puderem ser realizados, serão nele registrados. </w:t>
      </w:r>
    </w:p>
    <w:p w:rsidR="00D1302B" w:rsidRPr="00FD1390" w:rsidRDefault="00D1302B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302B" w:rsidRPr="00FD1390" w:rsidRDefault="00D1302B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Preferencialmente, o lançamento dos atos e procedimentos de gestão no sistema deverão manter a cronologia e contemporaneidade com o processo físico.</w:t>
      </w:r>
    </w:p>
    <w:p w:rsidR="00D1302B" w:rsidRDefault="00D1302B" w:rsidP="0044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6C3D" w:rsidRDefault="00070BC6" w:rsidP="0044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10A4CC6A" wp14:editId="69A1FAD9">
            <wp:extent cx="5760085" cy="2464904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7950"/>
                    <a:stretch/>
                  </pic:blipFill>
                  <pic:spPr bwMode="auto">
                    <a:xfrm>
                      <a:off x="0" y="0"/>
                      <a:ext cx="5760085" cy="2464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B21" w:rsidRDefault="00DF0B21" w:rsidP="0044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6C3D" w:rsidRPr="00593DB2" w:rsidRDefault="00416C3D" w:rsidP="0044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A9" w:rsidRPr="00593DB2" w:rsidRDefault="00F110A9" w:rsidP="000D1AB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3DB2"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3D76BC" w:rsidRPr="00593DB2" w:rsidRDefault="003D76BC" w:rsidP="000D1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77F7A" w:rsidRPr="00FD1390" w:rsidRDefault="00E77F7A" w:rsidP="00FD139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O recebimento do objeto, provisório ou definitivo, é atribuição do Ge</w:t>
      </w:r>
      <w:r w:rsidR="00070BC6">
        <w:rPr>
          <w:rFonts w:ascii="Arial" w:hAnsi="Arial" w:cs="Arial"/>
          <w:sz w:val="24"/>
          <w:szCs w:val="24"/>
        </w:rPr>
        <w:t>stor/Comissão, subsidiado pelo f</w:t>
      </w:r>
      <w:r w:rsidRPr="00FD1390">
        <w:rPr>
          <w:rFonts w:ascii="Arial" w:hAnsi="Arial" w:cs="Arial"/>
          <w:sz w:val="24"/>
          <w:szCs w:val="24"/>
        </w:rPr>
        <w:t>iscal de contrato</w:t>
      </w:r>
      <w:r w:rsidR="000A7AB8" w:rsidRPr="00FD1390">
        <w:rPr>
          <w:rFonts w:ascii="Arial" w:hAnsi="Arial" w:cs="Arial"/>
          <w:sz w:val="24"/>
          <w:szCs w:val="24"/>
        </w:rPr>
        <w:t xml:space="preserve"> e decorre do</w:t>
      </w:r>
      <w:r w:rsidRPr="00FD1390">
        <w:rPr>
          <w:rFonts w:ascii="Arial" w:hAnsi="Arial" w:cs="Arial"/>
          <w:sz w:val="24"/>
          <w:szCs w:val="24"/>
        </w:rPr>
        <w:t xml:space="preserve"> exercício da fiscalização</w:t>
      </w:r>
      <w:r w:rsidR="000A7AB8" w:rsidRPr="00FD1390">
        <w:rPr>
          <w:rFonts w:ascii="Arial" w:hAnsi="Arial" w:cs="Arial"/>
          <w:sz w:val="24"/>
          <w:szCs w:val="24"/>
        </w:rPr>
        <w:t xml:space="preserve"> durante a qual se </w:t>
      </w:r>
      <w:r w:rsidRPr="00FD1390">
        <w:rPr>
          <w:rFonts w:ascii="Arial" w:hAnsi="Arial" w:cs="Arial"/>
          <w:sz w:val="24"/>
          <w:szCs w:val="24"/>
        </w:rPr>
        <w:t>verificará o cumprimento das obrigações</w:t>
      </w:r>
      <w:r w:rsidR="009214D4">
        <w:rPr>
          <w:rFonts w:ascii="Arial" w:hAnsi="Arial" w:cs="Arial"/>
          <w:sz w:val="24"/>
          <w:szCs w:val="24"/>
        </w:rPr>
        <w:t>;</w:t>
      </w:r>
    </w:p>
    <w:p w:rsidR="00FE4917" w:rsidRPr="00FD1390" w:rsidRDefault="00FE491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AB3" w:rsidRPr="00E2246E" w:rsidRDefault="00070BC6" w:rsidP="00FD139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atuação do f</w:t>
      </w:r>
      <w:r w:rsidR="00030E93" w:rsidRPr="00FD1390">
        <w:rPr>
          <w:rFonts w:ascii="Arial" w:hAnsi="Arial" w:cs="Arial"/>
          <w:sz w:val="24"/>
          <w:szCs w:val="24"/>
        </w:rPr>
        <w:t>iscal, caso este seja também designado, conforme dispõe a Portaria SEGER/PGE/SECONT nº 049-R/2010, será compatível com as atribuições a ele incumbi</w:t>
      </w:r>
      <w:r>
        <w:rPr>
          <w:rFonts w:ascii="Arial" w:hAnsi="Arial" w:cs="Arial"/>
          <w:sz w:val="24"/>
          <w:szCs w:val="24"/>
        </w:rPr>
        <w:t>das, no sentido de subsidiar o g</w:t>
      </w:r>
      <w:r w:rsidR="00030E93" w:rsidRPr="00FD1390">
        <w:rPr>
          <w:rFonts w:ascii="Arial" w:hAnsi="Arial" w:cs="Arial"/>
          <w:sz w:val="24"/>
          <w:szCs w:val="24"/>
        </w:rPr>
        <w:t>estor. O ato de designação deverá contemplar as atribuições de cada um. Neste aspecto, observar a Norm</w:t>
      </w:r>
      <w:r w:rsidR="00E856F7">
        <w:rPr>
          <w:rFonts w:ascii="Arial" w:hAnsi="Arial" w:cs="Arial"/>
          <w:sz w:val="24"/>
          <w:szCs w:val="24"/>
        </w:rPr>
        <w:t>a de Procedimento SCL N</w:t>
      </w:r>
      <w:r w:rsidR="00030E93" w:rsidRPr="00FD1390">
        <w:rPr>
          <w:rFonts w:ascii="Arial" w:hAnsi="Arial" w:cs="Arial"/>
          <w:sz w:val="24"/>
          <w:szCs w:val="24"/>
        </w:rPr>
        <w:t xml:space="preserve">º 012 </w:t>
      </w:r>
      <w:r w:rsidR="00C6075F" w:rsidRPr="00FD1390">
        <w:rPr>
          <w:rFonts w:ascii="Arial" w:hAnsi="Arial" w:cs="Arial"/>
          <w:sz w:val="24"/>
          <w:szCs w:val="24"/>
        </w:rPr>
        <w:t>–</w:t>
      </w:r>
      <w:r w:rsidR="00030E93" w:rsidRPr="00FD1390">
        <w:rPr>
          <w:rFonts w:ascii="Arial" w:hAnsi="Arial" w:cs="Arial"/>
          <w:sz w:val="24"/>
          <w:szCs w:val="24"/>
        </w:rPr>
        <w:t xml:space="preserve"> </w:t>
      </w:r>
      <w:r w:rsidR="00030E93" w:rsidRPr="00FD1390">
        <w:rPr>
          <w:rFonts w:ascii="Arial" w:hAnsi="Arial" w:cs="Arial"/>
          <w:bCs/>
          <w:sz w:val="24"/>
          <w:szCs w:val="24"/>
        </w:rPr>
        <w:t>Designação e Atribuiçõ</w:t>
      </w:r>
      <w:r w:rsidR="009214D4">
        <w:rPr>
          <w:rFonts w:ascii="Arial" w:hAnsi="Arial" w:cs="Arial"/>
          <w:bCs/>
          <w:sz w:val="24"/>
          <w:szCs w:val="24"/>
        </w:rPr>
        <w:t>es de Gestor, Fiscal e Comissão;</w:t>
      </w:r>
    </w:p>
    <w:p w:rsidR="00E2246E" w:rsidRPr="00E2246E" w:rsidRDefault="00E2246E" w:rsidP="00E2246E">
      <w:pPr>
        <w:pStyle w:val="PargrafodaLista"/>
        <w:rPr>
          <w:rFonts w:ascii="Arial" w:hAnsi="Arial" w:cs="Arial"/>
          <w:sz w:val="24"/>
          <w:szCs w:val="24"/>
        </w:rPr>
      </w:pPr>
    </w:p>
    <w:p w:rsidR="00E2246E" w:rsidRPr="00FD1390" w:rsidRDefault="00E2246E" w:rsidP="00FD139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atividades previstas nesta Norma de Procedimento devem observar </w:t>
      </w:r>
      <w:r w:rsidR="00731DDA">
        <w:rPr>
          <w:rFonts w:ascii="Arial" w:hAnsi="Arial" w:cs="Arial"/>
          <w:sz w:val="24"/>
          <w:szCs w:val="24"/>
        </w:rPr>
        <w:t>as orientações contidas</w:t>
      </w:r>
      <w:r>
        <w:rPr>
          <w:rFonts w:ascii="Arial" w:hAnsi="Arial" w:cs="Arial"/>
          <w:sz w:val="24"/>
          <w:szCs w:val="24"/>
        </w:rPr>
        <w:t xml:space="preserve"> no</w:t>
      </w:r>
      <w:r w:rsidR="00E85C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parecer</w:t>
      </w:r>
      <w:r w:rsidR="00E85C9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731DD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</w:t>
      </w:r>
      <w:r w:rsidR="00DD3C11">
        <w:rPr>
          <w:rFonts w:ascii="Arial" w:hAnsi="Arial" w:cs="Arial"/>
          <w:sz w:val="24"/>
          <w:szCs w:val="24"/>
        </w:rPr>
        <w:t>item 8 (Anexos)</w:t>
      </w:r>
      <w:r>
        <w:rPr>
          <w:rFonts w:ascii="Arial" w:hAnsi="Arial" w:cs="Arial"/>
          <w:sz w:val="24"/>
          <w:szCs w:val="24"/>
        </w:rPr>
        <w:t>, conforme orientação da PGE;</w:t>
      </w:r>
    </w:p>
    <w:p w:rsidR="00E2246E" w:rsidRDefault="00E2246E" w:rsidP="00E2246E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E4917" w:rsidRPr="00FD1390" w:rsidRDefault="00AB019F" w:rsidP="00FD139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O recebimento, quando o objeto for ma</w:t>
      </w:r>
      <w:r w:rsidR="00E856F7">
        <w:rPr>
          <w:rFonts w:ascii="Arial" w:hAnsi="Arial" w:cs="Arial"/>
          <w:sz w:val="24"/>
          <w:szCs w:val="24"/>
        </w:rPr>
        <w:t>terial que deva transitar pelo a</w:t>
      </w:r>
      <w:r w:rsidRPr="00FD1390">
        <w:rPr>
          <w:rFonts w:ascii="Arial" w:hAnsi="Arial" w:cs="Arial"/>
          <w:sz w:val="24"/>
          <w:szCs w:val="24"/>
        </w:rPr>
        <w:t>lmoxarifado do órgão, deverá observar também o Decreto Estadual nº 4.258-N, de 14/04/1998, compatibilizando administração de material com gestão da contratação</w:t>
      </w:r>
      <w:r w:rsidR="009214D4">
        <w:rPr>
          <w:rFonts w:ascii="Arial" w:hAnsi="Arial" w:cs="Arial"/>
          <w:sz w:val="24"/>
          <w:szCs w:val="24"/>
        </w:rPr>
        <w:t>;</w:t>
      </w:r>
    </w:p>
    <w:p w:rsidR="00565CBE" w:rsidRPr="00FD1390" w:rsidRDefault="00565CBE" w:rsidP="00FD1390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565CBE" w:rsidRPr="00FD1390" w:rsidRDefault="00FE228D" w:rsidP="00FD139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 xml:space="preserve">Havendo </w:t>
      </w:r>
      <w:r w:rsidR="00565CBE" w:rsidRPr="00FD1390">
        <w:rPr>
          <w:rFonts w:ascii="Arial" w:hAnsi="Arial" w:cs="Arial"/>
          <w:sz w:val="24"/>
          <w:szCs w:val="24"/>
        </w:rPr>
        <w:t xml:space="preserve">tarefas </w:t>
      </w:r>
      <w:r w:rsidRPr="00FD1390">
        <w:rPr>
          <w:rFonts w:ascii="Arial" w:hAnsi="Arial" w:cs="Arial"/>
          <w:sz w:val="24"/>
          <w:szCs w:val="24"/>
        </w:rPr>
        <w:t>d</w:t>
      </w:r>
      <w:r w:rsidR="00565CBE" w:rsidRPr="00FD1390">
        <w:rPr>
          <w:rFonts w:ascii="Arial" w:hAnsi="Arial" w:cs="Arial"/>
          <w:sz w:val="24"/>
          <w:szCs w:val="24"/>
        </w:rPr>
        <w:t>o Gestor/</w:t>
      </w:r>
      <w:r w:rsidR="00A466CD" w:rsidRPr="00FD1390">
        <w:rPr>
          <w:rFonts w:ascii="Arial" w:hAnsi="Arial" w:cs="Arial"/>
          <w:sz w:val="24"/>
          <w:szCs w:val="24"/>
        </w:rPr>
        <w:t>Fiscal/</w:t>
      </w:r>
      <w:r w:rsidR="00565CBE" w:rsidRPr="00FD1390">
        <w:rPr>
          <w:rFonts w:ascii="Arial" w:hAnsi="Arial" w:cs="Arial"/>
          <w:sz w:val="24"/>
          <w:szCs w:val="24"/>
        </w:rPr>
        <w:t>Comissão</w:t>
      </w:r>
      <w:r w:rsidRPr="00FD1390">
        <w:rPr>
          <w:rFonts w:ascii="Arial" w:hAnsi="Arial" w:cs="Arial"/>
          <w:sz w:val="24"/>
          <w:szCs w:val="24"/>
        </w:rPr>
        <w:t xml:space="preserve"> que, eventualmente sejam realizadas por </w:t>
      </w:r>
      <w:r w:rsidR="00565CBE" w:rsidRPr="00FD1390">
        <w:rPr>
          <w:rFonts w:ascii="Arial" w:hAnsi="Arial" w:cs="Arial"/>
          <w:sz w:val="24"/>
          <w:szCs w:val="24"/>
        </w:rPr>
        <w:t xml:space="preserve">setor/área do Órgão/Entidade, </w:t>
      </w:r>
      <w:r w:rsidRPr="00FD1390">
        <w:rPr>
          <w:rFonts w:ascii="Arial" w:hAnsi="Arial" w:cs="Arial"/>
          <w:sz w:val="24"/>
          <w:szCs w:val="24"/>
        </w:rPr>
        <w:t xml:space="preserve">em razão de </w:t>
      </w:r>
      <w:r w:rsidR="00565CBE" w:rsidRPr="00FD1390">
        <w:rPr>
          <w:rFonts w:ascii="Arial" w:hAnsi="Arial" w:cs="Arial"/>
          <w:sz w:val="24"/>
          <w:szCs w:val="24"/>
        </w:rPr>
        <w:t xml:space="preserve">estrutura ou especificidade, objetivando a otimização/padronização do processo, desde que definido pela autoridade competente, não </w:t>
      </w:r>
      <w:r w:rsidRPr="00FD1390">
        <w:rPr>
          <w:rFonts w:ascii="Arial" w:hAnsi="Arial" w:cs="Arial"/>
          <w:sz w:val="24"/>
          <w:szCs w:val="24"/>
        </w:rPr>
        <w:t xml:space="preserve">retira </w:t>
      </w:r>
      <w:r w:rsidR="00565CBE" w:rsidRPr="00FD1390">
        <w:rPr>
          <w:rFonts w:ascii="Arial" w:hAnsi="Arial" w:cs="Arial"/>
          <w:sz w:val="24"/>
          <w:szCs w:val="24"/>
        </w:rPr>
        <w:t>do Gestor/Comissão a responsabilidade de garantir que todos os</w:t>
      </w:r>
      <w:r w:rsidR="009214D4">
        <w:rPr>
          <w:rFonts w:ascii="Arial" w:hAnsi="Arial" w:cs="Arial"/>
          <w:sz w:val="24"/>
          <w:szCs w:val="24"/>
        </w:rPr>
        <w:t xml:space="preserve"> procedimentos sejam realizados;</w:t>
      </w:r>
    </w:p>
    <w:p w:rsidR="00FC5F87" w:rsidRPr="00FD1390" w:rsidRDefault="00FC5F87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DEF" w:rsidRPr="00FD1390" w:rsidRDefault="00E23AF4" w:rsidP="00FD139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t>O documento de formalização do recebimento do objeto poderá ser g</w:t>
      </w:r>
      <w:r w:rsidR="00E856F7">
        <w:rPr>
          <w:rFonts w:ascii="Arial" w:hAnsi="Arial" w:cs="Arial"/>
          <w:sz w:val="24"/>
          <w:szCs w:val="24"/>
        </w:rPr>
        <w:t>erado diretamente no Módulo de C</w:t>
      </w:r>
      <w:r w:rsidRPr="00FD1390">
        <w:rPr>
          <w:rFonts w:ascii="Arial" w:hAnsi="Arial" w:cs="Arial"/>
          <w:sz w:val="24"/>
          <w:szCs w:val="24"/>
        </w:rPr>
        <w:t>ontratos do Siga, na aba correspondente, ou ainda poderão ser utilizados</w:t>
      </w:r>
      <w:r w:rsidR="00881DEF" w:rsidRPr="00FD1390">
        <w:rPr>
          <w:rFonts w:ascii="Arial" w:hAnsi="Arial" w:cs="Arial"/>
          <w:sz w:val="24"/>
          <w:szCs w:val="24"/>
        </w:rPr>
        <w:t xml:space="preserve"> modelos disponíveis no sítio eletrônico </w:t>
      </w:r>
      <w:hyperlink r:id="rId11" w:history="1">
        <w:r w:rsidR="00881DEF" w:rsidRPr="00FD1390">
          <w:rPr>
            <w:rFonts w:ascii="Arial" w:hAnsi="Arial" w:cs="Arial"/>
            <w:sz w:val="24"/>
            <w:szCs w:val="24"/>
          </w:rPr>
          <w:t>www.compras.es.gov.br</w:t>
        </w:r>
      </w:hyperlink>
      <w:r w:rsidR="00881DEF" w:rsidRPr="00FD1390">
        <w:rPr>
          <w:rFonts w:ascii="Arial" w:hAnsi="Arial" w:cs="Arial"/>
          <w:sz w:val="24"/>
          <w:szCs w:val="24"/>
        </w:rPr>
        <w:t>,</w:t>
      </w:r>
      <w:r w:rsidR="00510CE1" w:rsidRPr="00FD1390">
        <w:rPr>
          <w:rFonts w:ascii="Arial" w:hAnsi="Arial" w:cs="Arial"/>
          <w:sz w:val="24"/>
          <w:szCs w:val="24"/>
        </w:rPr>
        <w:t xml:space="preserve"> </w:t>
      </w:r>
      <w:r w:rsidR="001109A5" w:rsidRPr="00FD1390">
        <w:rPr>
          <w:rFonts w:ascii="Arial" w:hAnsi="Arial" w:cs="Arial"/>
          <w:sz w:val="24"/>
          <w:szCs w:val="24"/>
        </w:rPr>
        <w:t xml:space="preserve">menu </w:t>
      </w:r>
      <w:r w:rsidR="00E856F7">
        <w:rPr>
          <w:rFonts w:ascii="Arial" w:hAnsi="Arial" w:cs="Arial"/>
          <w:i/>
          <w:sz w:val="24"/>
          <w:szCs w:val="24"/>
        </w:rPr>
        <w:t>Gestão de C</w:t>
      </w:r>
      <w:r w:rsidR="001109A5" w:rsidRPr="00FD1390">
        <w:rPr>
          <w:rFonts w:ascii="Arial" w:hAnsi="Arial" w:cs="Arial"/>
          <w:i/>
          <w:sz w:val="24"/>
          <w:szCs w:val="24"/>
        </w:rPr>
        <w:t xml:space="preserve">ontratos, </w:t>
      </w:r>
      <w:r w:rsidR="00510CE1" w:rsidRPr="00FD1390">
        <w:rPr>
          <w:rFonts w:ascii="Arial" w:hAnsi="Arial" w:cs="Arial"/>
          <w:sz w:val="24"/>
          <w:szCs w:val="24"/>
        </w:rPr>
        <w:t>em</w:t>
      </w:r>
      <w:r w:rsidR="00881DEF" w:rsidRPr="00FD1390">
        <w:rPr>
          <w:rFonts w:ascii="Arial" w:hAnsi="Arial" w:cs="Arial"/>
          <w:sz w:val="24"/>
          <w:szCs w:val="24"/>
        </w:rPr>
        <w:t xml:space="preserve"> </w:t>
      </w:r>
      <w:r w:rsidR="00881DEF" w:rsidRPr="00FD1390">
        <w:rPr>
          <w:rFonts w:ascii="Arial" w:hAnsi="Arial" w:cs="Arial"/>
          <w:i/>
          <w:sz w:val="24"/>
          <w:szCs w:val="24"/>
        </w:rPr>
        <w:t>Modelos de Formulários</w:t>
      </w:r>
      <w:r w:rsidR="009214D4">
        <w:rPr>
          <w:rFonts w:ascii="Arial" w:hAnsi="Arial" w:cs="Arial"/>
          <w:sz w:val="24"/>
          <w:szCs w:val="24"/>
        </w:rPr>
        <w:t>;</w:t>
      </w:r>
    </w:p>
    <w:p w:rsidR="00881DEF" w:rsidRPr="00FD1390" w:rsidRDefault="00881DEF" w:rsidP="00FD1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64DA" w:rsidRDefault="00030E93" w:rsidP="000D1AB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390">
        <w:rPr>
          <w:rFonts w:ascii="Arial" w:hAnsi="Arial" w:cs="Arial"/>
          <w:sz w:val="24"/>
          <w:szCs w:val="24"/>
        </w:rPr>
        <w:lastRenderedPageBreak/>
        <w:t xml:space="preserve">O Manual Módulo de Contratos (SIGA – servidor) e os Informativos e Tutoriais SIGA encontram-se disponíveis no sítio eletrônico </w:t>
      </w:r>
      <w:hyperlink r:id="rId12" w:history="1">
        <w:r w:rsidR="00DF0B21" w:rsidRPr="006303CE">
          <w:rPr>
            <w:rStyle w:val="Hyperlink"/>
            <w:rFonts w:ascii="Arial" w:hAnsi="Arial" w:cs="Arial"/>
            <w:sz w:val="24"/>
            <w:szCs w:val="24"/>
          </w:rPr>
          <w:t>www.portalsiga.es.gov.br</w:t>
        </w:r>
      </w:hyperlink>
      <w:r w:rsidRPr="00FD1390">
        <w:rPr>
          <w:rFonts w:ascii="Arial" w:hAnsi="Arial" w:cs="Arial"/>
          <w:sz w:val="24"/>
          <w:szCs w:val="24"/>
        </w:rPr>
        <w:t>.</w:t>
      </w:r>
    </w:p>
    <w:p w:rsidR="00451884" w:rsidRPr="00FD1390" w:rsidRDefault="00451884" w:rsidP="00FD1390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110A9" w:rsidRPr="00593DB2" w:rsidRDefault="003D76BC" w:rsidP="000D1AB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3DB2">
        <w:rPr>
          <w:rFonts w:ascii="Arial" w:hAnsi="Arial" w:cs="Arial"/>
          <w:b/>
          <w:bCs/>
          <w:sz w:val="24"/>
          <w:szCs w:val="24"/>
        </w:rPr>
        <w:t>A</w:t>
      </w:r>
      <w:r w:rsidR="00F110A9" w:rsidRPr="00593DB2">
        <w:rPr>
          <w:rFonts w:ascii="Arial" w:hAnsi="Arial" w:cs="Arial"/>
          <w:b/>
          <w:bCs/>
          <w:sz w:val="24"/>
          <w:szCs w:val="24"/>
        </w:rPr>
        <w:t>NEXOS</w:t>
      </w:r>
    </w:p>
    <w:p w:rsidR="003D76BC" w:rsidRPr="00593DB2" w:rsidRDefault="003D76BC" w:rsidP="000D1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B0AB2" w:rsidRDefault="00CE0227" w:rsidP="00F93B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 ANEXO I – Parecer PGE/PCA Nº 00604/2022;</w:t>
      </w:r>
    </w:p>
    <w:p w:rsidR="00CE0227" w:rsidRDefault="00CE0227" w:rsidP="00F93B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0227" w:rsidRDefault="00CE0227" w:rsidP="00F93B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 ANEXO II – Despacho PGE/PCA Nº 00651/2022;</w:t>
      </w:r>
    </w:p>
    <w:p w:rsidR="00CE0227" w:rsidRDefault="00CE0227" w:rsidP="00F93B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0227" w:rsidRDefault="00CE0227" w:rsidP="00F93B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 ANEXO III – Despacho PGE.</w:t>
      </w:r>
    </w:p>
    <w:p w:rsidR="00F93BA5" w:rsidRPr="00F93BA5" w:rsidRDefault="00F93BA5" w:rsidP="00F93B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EE5" w:rsidRPr="00593DB2" w:rsidRDefault="00F110A9" w:rsidP="00545E1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3DB2">
        <w:rPr>
          <w:rFonts w:ascii="Arial" w:hAnsi="Arial" w:cs="Arial"/>
          <w:b/>
          <w:bCs/>
          <w:sz w:val="24"/>
          <w:szCs w:val="24"/>
        </w:rPr>
        <w:t>ASSINATURAS</w:t>
      </w:r>
    </w:p>
    <w:p w:rsidR="003D76BC" w:rsidRPr="00593DB2" w:rsidRDefault="003D76BC" w:rsidP="004443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23"/>
      </w:tblGrid>
      <w:tr w:rsidR="00EC1EAF" w:rsidRPr="008232BA" w:rsidTr="00BD216B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EAF" w:rsidRPr="00C45144" w:rsidRDefault="00EC1EAF" w:rsidP="000040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451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EQUIPE DE </w:t>
            </w:r>
            <w:r w:rsidR="0000763B" w:rsidRPr="00C451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REVISÃO</w:t>
            </w:r>
            <w:r w:rsidRPr="00C451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SCL Nº 017</w:t>
            </w:r>
            <w:r w:rsidR="004E02BB" w:rsidRPr="00C451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versão 0</w:t>
            </w:r>
            <w:r w:rsidR="0000404C" w:rsidRPr="00C451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Pr="00C451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EC1EAF" w:rsidRPr="008232BA" w:rsidTr="0000404C">
        <w:trPr>
          <w:trHeight w:val="942"/>
        </w:trPr>
        <w:tc>
          <w:tcPr>
            <w:tcW w:w="4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38" w:rsidRDefault="00DE0D38" w:rsidP="00D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E0D38" w:rsidRPr="0000404C" w:rsidRDefault="00DE0D38" w:rsidP="00D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Walter Rocha Sarmento Júnior</w:t>
            </w:r>
          </w:p>
          <w:p w:rsidR="00EC1EAF" w:rsidRPr="0000404C" w:rsidRDefault="00DE0D38" w:rsidP="00D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Gestão de Contratos e Convênios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D38" w:rsidRPr="0000404C" w:rsidRDefault="00DE0D38" w:rsidP="00D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Rodrigo Pacheco Castro</w:t>
            </w:r>
          </w:p>
          <w:p w:rsidR="00EC1EAF" w:rsidRPr="0000404C" w:rsidRDefault="00DE0D38" w:rsidP="00D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</w:tc>
      </w:tr>
      <w:tr w:rsidR="0000404C" w:rsidRPr="008232BA" w:rsidTr="00506695">
        <w:trPr>
          <w:trHeight w:val="802"/>
        </w:trPr>
        <w:tc>
          <w:tcPr>
            <w:tcW w:w="4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38" w:rsidRDefault="00DE0D38" w:rsidP="00D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E0D38" w:rsidRPr="0000404C" w:rsidRDefault="00DE0D38" w:rsidP="00DE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</w:t>
            </w: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loriete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Maria dos </w:t>
            </w: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Santos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Almeida</w:t>
            </w:r>
          </w:p>
          <w:p w:rsidR="0000404C" w:rsidRPr="0000404C" w:rsidRDefault="00DE0D38" w:rsidP="00DE0D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Assistente de Gestão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04C" w:rsidRPr="0000404C" w:rsidRDefault="00DE0D38" w:rsidP="00DE0D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Revisad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</w:t>
            </w: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04/10</w:t>
            </w: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EC1EAF" w:rsidRPr="008232BA" w:rsidTr="00BD216B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EAF" w:rsidRPr="00C45144" w:rsidRDefault="00EC1EAF" w:rsidP="00BD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451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EC1EAF" w:rsidRPr="008232BA" w:rsidTr="0000404C">
        <w:trPr>
          <w:trHeight w:val="1120"/>
        </w:trPr>
        <w:tc>
          <w:tcPr>
            <w:tcW w:w="4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38" w:rsidRDefault="00DE0D38" w:rsidP="00CD6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D6C91" w:rsidRPr="0000404C" w:rsidRDefault="0000404C" w:rsidP="00CD6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:rsidR="00EC1EAF" w:rsidRPr="0000404C" w:rsidRDefault="0000404C" w:rsidP="004E0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</w:rPr>
              <w:t>Secretário</w:t>
            </w:r>
            <w:r w:rsidR="00EC1EAF" w:rsidRPr="0000404C">
              <w:rPr>
                <w:rFonts w:ascii="Arial" w:hAnsi="Arial" w:cs="Arial"/>
                <w:bCs/>
                <w:color w:val="000000"/>
                <w:sz w:val="24"/>
              </w:rPr>
              <w:t xml:space="preserve"> de Estado de Gestão e Recursos Humanos</w:t>
            </w:r>
            <w:r w:rsidR="00EC1EAF" w:rsidRPr="0000404C">
              <w:rPr>
                <w:rFonts w:ascii="Arial" w:hAnsi="Arial" w:cs="Arial"/>
                <w:bCs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EAF" w:rsidRPr="0000404C" w:rsidRDefault="00C3440A" w:rsidP="00C45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</w:t>
            </w:r>
            <w:r w:rsidR="00C451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</w:t>
            </w:r>
            <w:r w:rsidRPr="0000404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C451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 data da assinatura</w:t>
            </w:r>
          </w:p>
        </w:tc>
      </w:tr>
    </w:tbl>
    <w:p w:rsidR="003D76BC" w:rsidRDefault="003D76BC" w:rsidP="00EB199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7CC6" w:rsidRDefault="001E7CC6" w:rsidP="00EB199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1003"/>
        <w:gridCol w:w="7218"/>
      </w:tblGrid>
      <w:tr w:rsidR="001E7CC6" w:rsidTr="00B360A8">
        <w:tc>
          <w:tcPr>
            <w:tcW w:w="9072" w:type="dxa"/>
            <w:gridSpan w:val="3"/>
          </w:tcPr>
          <w:p w:rsidR="001E7CC6" w:rsidRPr="008D5C60" w:rsidRDefault="001E7CC6" w:rsidP="00FA0A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Controle de revisão</w:t>
            </w:r>
            <w:r>
              <w:rPr>
                <w:rFonts w:ascii="Arial" w:hAnsi="Arial" w:cs="Arial"/>
                <w:b/>
                <w:sz w:val="24"/>
              </w:rPr>
              <w:t xml:space="preserve"> – SCL 017</w:t>
            </w:r>
          </w:p>
        </w:tc>
      </w:tr>
      <w:tr w:rsidR="001E7CC6" w:rsidTr="00B360A8">
        <w:tc>
          <w:tcPr>
            <w:tcW w:w="9072" w:type="dxa"/>
            <w:gridSpan w:val="3"/>
          </w:tcPr>
          <w:p w:rsidR="001E7CC6" w:rsidRPr="008D5C60" w:rsidRDefault="001E7CC6" w:rsidP="00FA0AE5">
            <w:pPr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Versão: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42103F" w:rsidRPr="0042103F">
              <w:rPr>
                <w:rFonts w:ascii="Arial" w:hAnsi="Arial" w:cs="Arial"/>
                <w:sz w:val="24"/>
              </w:rPr>
              <w:t>0</w:t>
            </w:r>
            <w:r w:rsidR="00A16B0E" w:rsidRPr="00F042B8">
              <w:rPr>
                <w:rFonts w:ascii="Arial" w:hAnsi="Arial" w:cs="Arial"/>
                <w:sz w:val="24"/>
              </w:rPr>
              <w:t>4</w:t>
            </w:r>
          </w:p>
        </w:tc>
      </w:tr>
      <w:tr w:rsidR="001E7CC6" w:rsidTr="00B360A8">
        <w:tc>
          <w:tcPr>
            <w:tcW w:w="851" w:type="dxa"/>
          </w:tcPr>
          <w:p w:rsidR="001E7CC6" w:rsidRPr="008D5C60" w:rsidRDefault="001E7CC6" w:rsidP="00FA0A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1003" w:type="dxa"/>
          </w:tcPr>
          <w:p w:rsidR="001E7CC6" w:rsidRPr="008D5C60" w:rsidRDefault="001E7CC6" w:rsidP="00FA0A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Página</w:t>
            </w:r>
          </w:p>
        </w:tc>
        <w:tc>
          <w:tcPr>
            <w:tcW w:w="7218" w:type="dxa"/>
          </w:tcPr>
          <w:p w:rsidR="001E7CC6" w:rsidRPr="008D5C60" w:rsidRDefault="001E7CC6" w:rsidP="00FA0A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Alteração</w:t>
            </w:r>
          </w:p>
        </w:tc>
      </w:tr>
      <w:tr w:rsidR="0000404C" w:rsidTr="00B360A8">
        <w:tc>
          <w:tcPr>
            <w:tcW w:w="851" w:type="dxa"/>
            <w:vAlign w:val="center"/>
          </w:tcPr>
          <w:p w:rsidR="0000404C" w:rsidRDefault="0000404C" w:rsidP="0000404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00404C" w:rsidRDefault="0000404C" w:rsidP="0000404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18" w:type="dxa"/>
          </w:tcPr>
          <w:p w:rsidR="0000404C" w:rsidRDefault="0000404C" w:rsidP="003D655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Inclusão do ite</w:t>
            </w:r>
            <w:r w:rsidR="003D655F"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</w:rPr>
              <w:t xml:space="preserve"> 3.8.</w:t>
            </w:r>
          </w:p>
        </w:tc>
      </w:tr>
      <w:tr w:rsidR="001E7CC6" w:rsidTr="00B360A8">
        <w:tc>
          <w:tcPr>
            <w:tcW w:w="851" w:type="dxa"/>
            <w:vAlign w:val="center"/>
          </w:tcPr>
          <w:p w:rsidR="001E7CC6" w:rsidRDefault="001E7CC6" w:rsidP="0000404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:rsidR="001E7CC6" w:rsidRDefault="001E7CC6" w:rsidP="0000404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7218" w:type="dxa"/>
          </w:tcPr>
          <w:p w:rsidR="001E7CC6" w:rsidRDefault="00DE0D38" w:rsidP="00ED3D8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T09 do </w:t>
            </w:r>
            <w:r w:rsidR="001E7CC6">
              <w:rPr>
                <w:rFonts w:ascii="Arial" w:hAnsi="Arial" w:cs="Arial"/>
                <w:sz w:val="24"/>
              </w:rPr>
              <w:t>SB02 - Inclusão da palavra “fiscal”</w:t>
            </w:r>
            <w:r>
              <w:rPr>
                <w:rFonts w:ascii="Arial" w:hAnsi="Arial" w:cs="Arial"/>
                <w:sz w:val="24"/>
              </w:rPr>
              <w:t xml:space="preserve"> na descrição da </w:t>
            </w:r>
            <w:r w:rsidR="00ED3D87">
              <w:rPr>
                <w:rFonts w:ascii="Arial" w:hAnsi="Arial" w:cs="Arial"/>
                <w:sz w:val="24"/>
              </w:rPr>
              <w:t>atividade</w:t>
            </w:r>
            <w:r w:rsidR="001E7CC6">
              <w:rPr>
                <w:rFonts w:ascii="Arial" w:hAnsi="Arial" w:cs="Arial"/>
                <w:sz w:val="24"/>
              </w:rPr>
              <w:t>: “(...)</w:t>
            </w:r>
            <w:r w:rsidR="001E7CC6" w:rsidRPr="001E7CC6">
              <w:rPr>
                <w:rFonts w:ascii="Arial" w:hAnsi="Arial" w:cs="Arial"/>
                <w:sz w:val="24"/>
              </w:rPr>
              <w:t xml:space="preserve">E, ainda que não comprovada a regularidade </w:t>
            </w:r>
            <w:r w:rsidR="001E7CC6" w:rsidRPr="001E7CC6">
              <w:rPr>
                <w:rFonts w:ascii="Arial" w:hAnsi="Arial" w:cs="Arial"/>
                <w:b/>
                <w:sz w:val="24"/>
              </w:rPr>
              <w:t>fiscal</w:t>
            </w:r>
            <w:r w:rsidR="001E7CC6" w:rsidRPr="001E7CC6">
              <w:rPr>
                <w:rFonts w:ascii="Arial" w:hAnsi="Arial" w:cs="Arial"/>
                <w:sz w:val="24"/>
              </w:rPr>
              <w:t xml:space="preserve"> e que não seja aceita a defesa apresentada (...)”</w:t>
            </w:r>
            <w:r w:rsidR="0000404C">
              <w:rPr>
                <w:rFonts w:ascii="Arial" w:hAnsi="Arial" w:cs="Arial"/>
                <w:sz w:val="24"/>
              </w:rPr>
              <w:t>.</w:t>
            </w:r>
          </w:p>
        </w:tc>
      </w:tr>
      <w:tr w:rsidR="00E2246E" w:rsidTr="00B360A8">
        <w:tc>
          <w:tcPr>
            <w:tcW w:w="851" w:type="dxa"/>
            <w:vAlign w:val="center"/>
          </w:tcPr>
          <w:p w:rsidR="00E2246E" w:rsidRDefault="00E2246E" w:rsidP="0000404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003" w:type="dxa"/>
            <w:vAlign w:val="center"/>
          </w:tcPr>
          <w:p w:rsidR="00E2246E" w:rsidRDefault="00E2246E" w:rsidP="0000404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7218" w:type="dxa"/>
          </w:tcPr>
          <w:p w:rsidR="00E2246E" w:rsidRDefault="00E2246E" w:rsidP="00E85C9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Inclusão do item 7.3 que estabelece a obrigatoriedade de observar o</w:t>
            </w:r>
            <w:r w:rsidR="00E85C91"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parecer</w:t>
            </w:r>
            <w:r w:rsidR="00E85C91">
              <w:rPr>
                <w:rFonts w:ascii="Arial" w:hAnsi="Arial" w:cs="Arial"/>
                <w:sz w:val="24"/>
              </w:rPr>
              <w:t>es</w:t>
            </w:r>
            <w:r>
              <w:rPr>
                <w:rFonts w:ascii="Arial" w:hAnsi="Arial" w:cs="Arial"/>
                <w:sz w:val="24"/>
              </w:rPr>
              <w:t xml:space="preserve"> no </w:t>
            </w:r>
            <w:r w:rsidR="00DD3C11">
              <w:rPr>
                <w:rFonts w:ascii="Arial" w:hAnsi="Arial" w:cs="Arial"/>
                <w:sz w:val="24"/>
              </w:rPr>
              <w:t>item 8 (</w:t>
            </w:r>
            <w:r>
              <w:rPr>
                <w:rFonts w:ascii="Arial" w:hAnsi="Arial" w:cs="Arial"/>
                <w:sz w:val="24"/>
              </w:rPr>
              <w:t>Anexo</w:t>
            </w:r>
            <w:r w:rsidR="00DD3C11">
              <w:rPr>
                <w:rFonts w:ascii="Arial" w:hAnsi="Arial" w:cs="Arial"/>
                <w:sz w:val="24"/>
              </w:rPr>
              <w:t>s)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CE0227" w:rsidTr="00B360A8">
        <w:tc>
          <w:tcPr>
            <w:tcW w:w="851" w:type="dxa"/>
            <w:vAlign w:val="center"/>
          </w:tcPr>
          <w:p w:rsidR="00CE0227" w:rsidRDefault="00CE0227" w:rsidP="0000404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003" w:type="dxa"/>
            <w:vAlign w:val="center"/>
          </w:tcPr>
          <w:p w:rsidR="00CE0227" w:rsidRDefault="00CE0227" w:rsidP="0000404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218" w:type="dxa"/>
          </w:tcPr>
          <w:p w:rsidR="00CE0227" w:rsidRDefault="00CE0227" w:rsidP="00E224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Inclusão dos anexos I, II e III.</w:t>
            </w:r>
          </w:p>
        </w:tc>
      </w:tr>
    </w:tbl>
    <w:p w:rsidR="001E7CC6" w:rsidRPr="00593DB2" w:rsidRDefault="001E7CC6" w:rsidP="00EB199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1E7CC6" w:rsidRPr="00593DB2" w:rsidSect="00FD1390">
      <w:headerReference w:type="default" r:id="rId13"/>
      <w:foot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B9" w:rsidRDefault="00BD50B9" w:rsidP="00B57E6C">
      <w:pPr>
        <w:spacing w:after="0" w:line="240" w:lineRule="auto"/>
      </w:pPr>
      <w:r>
        <w:separator/>
      </w:r>
    </w:p>
  </w:endnote>
  <w:endnote w:type="continuationSeparator" w:id="0">
    <w:p w:rsidR="00BD50B9" w:rsidRDefault="00BD50B9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9067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0D38" w:rsidRDefault="00DE0D3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31A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31A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073F" w:rsidRDefault="003B0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B9" w:rsidRDefault="00BD50B9" w:rsidP="00B57E6C">
      <w:pPr>
        <w:spacing w:after="0" w:line="240" w:lineRule="auto"/>
      </w:pPr>
      <w:r>
        <w:separator/>
      </w:r>
    </w:p>
  </w:footnote>
  <w:footnote w:type="continuationSeparator" w:id="0">
    <w:p w:rsidR="00BD50B9" w:rsidRDefault="00BD50B9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106"/>
    <w:multiLevelType w:val="hybridMultilevel"/>
    <w:tmpl w:val="343C432A"/>
    <w:name w:val="padronizadas222"/>
    <w:lvl w:ilvl="0" w:tplc="0DDE7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6C7"/>
    <w:multiLevelType w:val="hybridMultilevel"/>
    <w:tmpl w:val="429CB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DD1"/>
    <w:multiLevelType w:val="multilevel"/>
    <w:tmpl w:val="4AB0BD36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F537A0"/>
    <w:multiLevelType w:val="hybridMultilevel"/>
    <w:tmpl w:val="E0C81876"/>
    <w:name w:val="padronizadas222322"/>
    <w:lvl w:ilvl="0" w:tplc="20E44CCE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526981"/>
    <w:multiLevelType w:val="hybridMultilevel"/>
    <w:tmpl w:val="99CA5504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528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50C1220"/>
    <w:multiLevelType w:val="multilevel"/>
    <w:tmpl w:val="A664C202"/>
    <w:name w:val="padronizadas22232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2"/>
      <w:numFmt w:val="lowerLetter"/>
      <w:lvlRestart w:val="2"/>
      <w:suff w:val="space"/>
      <w:lvlText w:val="(%7)"/>
      <w:lvlJc w:val="left"/>
      <w:pPr>
        <w:ind w:left="28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964FEB"/>
    <w:multiLevelType w:val="hybridMultilevel"/>
    <w:tmpl w:val="8AC4EC7E"/>
    <w:lvl w:ilvl="0" w:tplc="3D56921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5215"/>
    <w:multiLevelType w:val="multilevel"/>
    <w:tmpl w:val="4AB0BD3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7EB7846"/>
    <w:multiLevelType w:val="hybridMultilevel"/>
    <w:tmpl w:val="C95A0BDE"/>
    <w:lvl w:ilvl="0" w:tplc="33CEB8F8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244E9F"/>
    <w:multiLevelType w:val="hybridMultilevel"/>
    <w:tmpl w:val="D3504C10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B1C77"/>
    <w:multiLevelType w:val="hybridMultilevel"/>
    <w:tmpl w:val="81DA22F0"/>
    <w:lvl w:ilvl="0" w:tplc="7C54037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50D7C"/>
    <w:multiLevelType w:val="hybridMultilevel"/>
    <w:tmpl w:val="00B695D6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64283"/>
    <w:multiLevelType w:val="hybridMultilevel"/>
    <w:tmpl w:val="0116E17C"/>
    <w:lvl w:ilvl="0" w:tplc="F4EA7BD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36B3A"/>
    <w:multiLevelType w:val="hybridMultilevel"/>
    <w:tmpl w:val="A080DCAC"/>
    <w:lvl w:ilvl="0" w:tplc="BE9269A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22409"/>
    <w:multiLevelType w:val="multilevel"/>
    <w:tmpl w:val="95F8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5D3D4077"/>
    <w:multiLevelType w:val="hybridMultilevel"/>
    <w:tmpl w:val="81D8C778"/>
    <w:lvl w:ilvl="0" w:tplc="D8DE59F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E15F3"/>
    <w:multiLevelType w:val="multilevel"/>
    <w:tmpl w:val="54909D4C"/>
    <w:name w:val="padronizadas222324"/>
    <w:lvl w:ilvl="0">
      <w:start w:val="12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B59157C"/>
    <w:multiLevelType w:val="hybridMultilevel"/>
    <w:tmpl w:val="3174A4A8"/>
    <w:lvl w:ilvl="0" w:tplc="350ECEC6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10AD2"/>
    <w:multiLevelType w:val="hybridMultilevel"/>
    <w:tmpl w:val="7D28D3E6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84142"/>
    <w:multiLevelType w:val="hybridMultilevel"/>
    <w:tmpl w:val="9CC828F4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12"/>
  </w:num>
  <w:num w:numId="7">
    <w:abstractNumId w:val="13"/>
  </w:num>
  <w:num w:numId="8">
    <w:abstractNumId w:val="14"/>
  </w:num>
  <w:num w:numId="9">
    <w:abstractNumId w:val="20"/>
  </w:num>
  <w:num w:numId="10">
    <w:abstractNumId w:val="9"/>
  </w:num>
  <w:num w:numId="11">
    <w:abstractNumId w:val="18"/>
  </w:num>
  <w:num w:numId="12">
    <w:abstractNumId w:val="11"/>
  </w:num>
  <w:num w:numId="13">
    <w:abstractNumId w:val="8"/>
  </w:num>
  <w:num w:numId="14">
    <w:abstractNumId w:val="2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6"/>
  </w:num>
  <w:num w:numId="19">
    <w:abstractNumId w:val="3"/>
    <w:lvlOverride w:ilvl="0">
      <w:startOverride w:val="1"/>
    </w:lvlOverride>
  </w:num>
  <w:num w:numId="20">
    <w:abstractNumId w:val="15"/>
  </w:num>
  <w:num w:numId="21">
    <w:abstractNumId w:val="19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0D88"/>
    <w:rsid w:val="00003CEA"/>
    <w:rsid w:val="00003EB1"/>
    <w:rsid w:val="0000404C"/>
    <w:rsid w:val="00005F1C"/>
    <w:rsid w:val="0000763B"/>
    <w:rsid w:val="00025B73"/>
    <w:rsid w:val="00026BB3"/>
    <w:rsid w:val="00030E93"/>
    <w:rsid w:val="00031D7B"/>
    <w:rsid w:val="00032BAB"/>
    <w:rsid w:val="00036D0D"/>
    <w:rsid w:val="00046CDE"/>
    <w:rsid w:val="000522AC"/>
    <w:rsid w:val="00070BC6"/>
    <w:rsid w:val="00084DF7"/>
    <w:rsid w:val="000907A3"/>
    <w:rsid w:val="0009100F"/>
    <w:rsid w:val="0009267A"/>
    <w:rsid w:val="000956A9"/>
    <w:rsid w:val="000A7AB8"/>
    <w:rsid w:val="000B3E8A"/>
    <w:rsid w:val="000C229E"/>
    <w:rsid w:val="000C5899"/>
    <w:rsid w:val="000C5CC0"/>
    <w:rsid w:val="000D1AB3"/>
    <w:rsid w:val="000D1AD6"/>
    <w:rsid w:val="000D2F32"/>
    <w:rsid w:val="000D4641"/>
    <w:rsid w:val="000E139B"/>
    <w:rsid w:val="000E361D"/>
    <w:rsid w:val="000E3846"/>
    <w:rsid w:val="000E6AFC"/>
    <w:rsid w:val="000F5A88"/>
    <w:rsid w:val="001109A5"/>
    <w:rsid w:val="00111D15"/>
    <w:rsid w:val="00117DD7"/>
    <w:rsid w:val="00133DEF"/>
    <w:rsid w:val="001458E1"/>
    <w:rsid w:val="00146F2F"/>
    <w:rsid w:val="001624F4"/>
    <w:rsid w:val="00166F50"/>
    <w:rsid w:val="00190009"/>
    <w:rsid w:val="0019206B"/>
    <w:rsid w:val="00194221"/>
    <w:rsid w:val="00197D90"/>
    <w:rsid w:val="001A23B8"/>
    <w:rsid w:val="001A6330"/>
    <w:rsid w:val="001A792E"/>
    <w:rsid w:val="001B3D3E"/>
    <w:rsid w:val="001B4965"/>
    <w:rsid w:val="001C4BC7"/>
    <w:rsid w:val="001E1410"/>
    <w:rsid w:val="001E7CC6"/>
    <w:rsid w:val="001F3718"/>
    <w:rsid w:val="001F64DA"/>
    <w:rsid w:val="00221D14"/>
    <w:rsid w:val="00222A3B"/>
    <w:rsid w:val="00224971"/>
    <w:rsid w:val="00235F42"/>
    <w:rsid w:val="00244323"/>
    <w:rsid w:val="00247227"/>
    <w:rsid w:val="0025286F"/>
    <w:rsid w:val="00261DFC"/>
    <w:rsid w:val="002654AF"/>
    <w:rsid w:val="002679FC"/>
    <w:rsid w:val="00273251"/>
    <w:rsid w:val="00274668"/>
    <w:rsid w:val="00275884"/>
    <w:rsid w:val="002B10B4"/>
    <w:rsid w:val="002C717F"/>
    <w:rsid w:val="002D0AA7"/>
    <w:rsid w:val="002D2C3F"/>
    <w:rsid w:val="002D34EA"/>
    <w:rsid w:val="002E1BC8"/>
    <w:rsid w:val="002E3808"/>
    <w:rsid w:val="002E7D27"/>
    <w:rsid w:val="002F5AE4"/>
    <w:rsid w:val="00301CA7"/>
    <w:rsid w:val="00303F5A"/>
    <w:rsid w:val="003119BF"/>
    <w:rsid w:val="0032462A"/>
    <w:rsid w:val="0033210A"/>
    <w:rsid w:val="0033263E"/>
    <w:rsid w:val="0034095C"/>
    <w:rsid w:val="003504C1"/>
    <w:rsid w:val="003538B3"/>
    <w:rsid w:val="00356F0C"/>
    <w:rsid w:val="0036230F"/>
    <w:rsid w:val="00386D9B"/>
    <w:rsid w:val="00395979"/>
    <w:rsid w:val="0039602F"/>
    <w:rsid w:val="003A2438"/>
    <w:rsid w:val="003A38E3"/>
    <w:rsid w:val="003B073F"/>
    <w:rsid w:val="003B362A"/>
    <w:rsid w:val="003B4D47"/>
    <w:rsid w:val="003B5AD6"/>
    <w:rsid w:val="003B60C5"/>
    <w:rsid w:val="003C0F8F"/>
    <w:rsid w:val="003D655F"/>
    <w:rsid w:val="003D76BC"/>
    <w:rsid w:val="003E6AA2"/>
    <w:rsid w:val="003E76A3"/>
    <w:rsid w:val="003F5944"/>
    <w:rsid w:val="003F7ECA"/>
    <w:rsid w:val="0040466A"/>
    <w:rsid w:val="00414A4E"/>
    <w:rsid w:val="00416C3D"/>
    <w:rsid w:val="0042103F"/>
    <w:rsid w:val="0042353D"/>
    <w:rsid w:val="004265AD"/>
    <w:rsid w:val="00430008"/>
    <w:rsid w:val="00433E27"/>
    <w:rsid w:val="00444374"/>
    <w:rsid w:val="00451884"/>
    <w:rsid w:val="00457D81"/>
    <w:rsid w:val="00467A17"/>
    <w:rsid w:val="004701E1"/>
    <w:rsid w:val="00472535"/>
    <w:rsid w:val="00496E0E"/>
    <w:rsid w:val="004A459E"/>
    <w:rsid w:val="004C0030"/>
    <w:rsid w:val="004C020B"/>
    <w:rsid w:val="004C23D5"/>
    <w:rsid w:val="004C3C39"/>
    <w:rsid w:val="004D05AC"/>
    <w:rsid w:val="004D6BF3"/>
    <w:rsid w:val="004E02BB"/>
    <w:rsid w:val="004E568E"/>
    <w:rsid w:val="004E704C"/>
    <w:rsid w:val="004F4B21"/>
    <w:rsid w:val="005059D1"/>
    <w:rsid w:val="00505A73"/>
    <w:rsid w:val="00506695"/>
    <w:rsid w:val="0050719D"/>
    <w:rsid w:val="00510CE1"/>
    <w:rsid w:val="00530445"/>
    <w:rsid w:val="005320F0"/>
    <w:rsid w:val="005353C0"/>
    <w:rsid w:val="00537CFE"/>
    <w:rsid w:val="00542F4E"/>
    <w:rsid w:val="00543A23"/>
    <w:rsid w:val="00544DA1"/>
    <w:rsid w:val="00545E10"/>
    <w:rsid w:val="005479F7"/>
    <w:rsid w:val="00550151"/>
    <w:rsid w:val="005575DA"/>
    <w:rsid w:val="005641BF"/>
    <w:rsid w:val="005648F2"/>
    <w:rsid w:val="00565CBE"/>
    <w:rsid w:val="00584B37"/>
    <w:rsid w:val="005856A4"/>
    <w:rsid w:val="00593DB2"/>
    <w:rsid w:val="00597156"/>
    <w:rsid w:val="005A25AE"/>
    <w:rsid w:val="005A70EF"/>
    <w:rsid w:val="005B1D1C"/>
    <w:rsid w:val="005B40C7"/>
    <w:rsid w:val="005C4898"/>
    <w:rsid w:val="005C5AB4"/>
    <w:rsid w:val="005D4E73"/>
    <w:rsid w:val="005E1014"/>
    <w:rsid w:val="006063D4"/>
    <w:rsid w:val="00612260"/>
    <w:rsid w:val="006143D6"/>
    <w:rsid w:val="00621532"/>
    <w:rsid w:val="006218C2"/>
    <w:rsid w:val="00622A6A"/>
    <w:rsid w:val="00622CD0"/>
    <w:rsid w:val="00625C20"/>
    <w:rsid w:val="0063507A"/>
    <w:rsid w:val="00641812"/>
    <w:rsid w:val="00641AEA"/>
    <w:rsid w:val="0064232F"/>
    <w:rsid w:val="0065142E"/>
    <w:rsid w:val="00665AE9"/>
    <w:rsid w:val="00683787"/>
    <w:rsid w:val="00687597"/>
    <w:rsid w:val="006A0540"/>
    <w:rsid w:val="006B0B2B"/>
    <w:rsid w:val="006B226D"/>
    <w:rsid w:val="006B6547"/>
    <w:rsid w:val="006C3259"/>
    <w:rsid w:val="006D0AB1"/>
    <w:rsid w:val="006F2964"/>
    <w:rsid w:val="006F52B1"/>
    <w:rsid w:val="006F6D63"/>
    <w:rsid w:val="00701B23"/>
    <w:rsid w:val="007026E6"/>
    <w:rsid w:val="00703197"/>
    <w:rsid w:val="00704F1C"/>
    <w:rsid w:val="00715E75"/>
    <w:rsid w:val="00715E9A"/>
    <w:rsid w:val="007301AC"/>
    <w:rsid w:val="00731DDA"/>
    <w:rsid w:val="00740A26"/>
    <w:rsid w:val="0075616D"/>
    <w:rsid w:val="0077072D"/>
    <w:rsid w:val="00770856"/>
    <w:rsid w:val="00772C33"/>
    <w:rsid w:val="0077745A"/>
    <w:rsid w:val="007872BB"/>
    <w:rsid w:val="0079366E"/>
    <w:rsid w:val="00794581"/>
    <w:rsid w:val="00795DD9"/>
    <w:rsid w:val="007A459C"/>
    <w:rsid w:val="007B3AB4"/>
    <w:rsid w:val="007C1D2E"/>
    <w:rsid w:val="007D24B3"/>
    <w:rsid w:val="007E7991"/>
    <w:rsid w:val="007F1B07"/>
    <w:rsid w:val="007F31A5"/>
    <w:rsid w:val="007F5FFD"/>
    <w:rsid w:val="007F7CDA"/>
    <w:rsid w:val="00803869"/>
    <w:rsid w:val="00804DC3"/>
    <w:rsid w:val="008062F1"/>
    <w:rsid w:val="008111D0"/>
    <w:rsid w:val="00817593"/>
    <w:rsid w:val="00823709"/>
    <w:rsid w:val="008708BD"/>
    <w:rsid w:val="00872279"/>
    <w:rsid w:val="00872C19"/>
    <w:rsid w:val="00881DEF"/>
    <w:rsid w:val="0088627B"/>
    <w:rsid w:val="008912D3"/>
    <w:rsid w:val="008A2B28"/>
    <w:rsid w:val="008A3566"/>
    <w:rsid w:val="008B13DA"/>
    <w:rsid w:val="008B3EA5"/>
    <w:rsid w:val="008B43C4"/>
    <w:rsid w:val="008B5D7A"/>
    <w:rsid w:val="008B6E35"/>
    <w:rsid w:val="008C6519"/>
    <w:rsid w:val="008C66CC"/>
    <w:rsid w:val="008C69FA"/>
    <w:rsid w:val="008C7875"/>
    <w:rsid w:val="008C7E8B"/>
    <w:rsid w:val="008D14E5"/>
    <w:rsid w:val="008D1934"/>
    <w:rsid w:val="008E2236"/>
    <w:rsid w:val="008E2541"/>
    <w:rsid w:val="008E4BA9"/>
    <w:rsid w:val="008F1DA5"/>
    <w:rsid w:val="008F5DDF"/>
    <w:rsid w:val="00901E53"/>
    <w:rsid w:val="00902FC0"/>
    <w:rsid w:val="00903FA6"/>
    <w:rsid w:val="00905BB5"/>
    <w:rsid w:val="00906505"/>
    <w:rsid w:val="009214D4"/>
    <w:rsid w:val="00923802"/>
    <w:rsid w:val="00926B5B"/>
    <w:rsid w:val="00936EAE"/>
    <w:rsid w:val="009413C0"/>
    <w:rsid w:val="009437B3"/>
    <w:rsid w:val="00946D3C"/>
    <w:rsid w:val="009513B8"/>
    <w:rsid w:val="00954953"/>
    <w:rsid w:val="0099098C"/>
    <w:rsid w:val="00991529"/>
    <w:rsid w:val="009A7BBE"/>
    <w:rsid w:val="009B16A2"/>
    <w:rsid w:val="009B3E39"/>
    <w:rsid w:val="009B5BBC"/>
    <w:rsid w:val="009B798B"/>
    <w:rsid w:val="009C0B04"/>
    <w:rsid w:val="009C5A92"/>
    <w:rsid w:val="009C6446"/>
    <w:rsid w:val="009D7118"/>
    <w:rsid w:val="009F1D97"/>
    <w:rsid w:val="009F20E8"/>
    <w:rsid w:val="009F3395"/>
    <w:rsid w:val="009F69BC"/>
    <w:rsid w:val="00A035E4"/>
    <w:rsid w:val="00A04695"/>
    <w:rsid w:val="00A05AB3"/>
    <w:rsid w:val="00A16B0E"/>
    <w:rsid w:val="00A2180B"/>
    <w:rsid w:val="00A26C09"/>
    <w:rsid w:val="00A31CEE"/>
    <w:rsid w:val="00A41E40"/>
    <w:rsid w:val="00A466CD"/>
    <w:rsid w:val="00A52769"/>
    <w:rsid w:val="00A674BD"/>
    <w:rsid w:val="00A7362E"/>
    <w:rsid w:val="00A7548F"/>
    <w:rsid w:val="00A75D15"/>
    <w:rsid w:val="00A80645"/>
    <w:rsid w:val="00A82B2C"/>
    <w:rsid w:val="00A95F81"/>
    <w:rsid w:val="00AA3423"/>
    <w:rsid w:val="00AB019F"/>
    <w:rsid w:val="00AC1614"/>
    <w:rsid w:val="00AC4F7B"/>
    <w:rsid w:val="00AD42F3"/>
    <w:rsid w:val="00AD6382"/>
    <w:rsid w:val="00AF1B31"/>
    <w:rsid w:val="00AF5501"/>
    <w:rsid w:val="00B201FC"/>
    <w:rsid w:val="00B25212"/>
    <w:rsid w:val="00B25948"/>
    <w:rsid w:val="00B360A8"/>
    <w:rsid w:val="00B3754A"/>
    <w:rsid w:val="00B43F1B"/>
    <w:rsid w:val="00B57E6C"/>
    <w:rsid w:val="00B63298"/>
    <w:rsid w:val="00B63B2D"/>
    <w:rsid w:val="00B64E67"/>
    <w:rsid w:val="00B74217"/>
    <w:rsid w:val="00B8620B"/>
    <w:rsid w:val="00B9650D"/>
    <w:rsid w:val="00BA383C"/>
    <w:rsid w:val="00BA733D"/>
    <w:rsid w:val="00BB1B7B"/>
    <w:rsid w:val="00BB3B5B"/>
    <w:rsid w:val="00BB50CD"/>
    <w:rsid w:val="00BB6BAF"/>
    <w:rsid w:val="00BD10C1"/>
    <w:rsid w:val="00BD50B9"/>
    <w:rsid w:val="00BE144E"/>
    <w:rsid w:val="00BF2EC8"/>
    <w:rsid w:val="00BF3732"/>
    <w:rsid w:val="00C05FFF"/>
    <w:rsid w:val="00C2087A"/>
    <w:rsid w:val="00C30157"/>
    <w:rsid w:val="00C3440A"/>
    <w:rsid w:val="00C34A1F"/>
    <w:rsid w:val="00C34EE5"/>
    <w:rsid w:val="00C40C33"/>
    <w:rsid w:val="00C45144"/>
    <w:rsid w:val="00C57723"/>
    <w:rsid w:val="00C6075F"/>
    <w:rsid w:val="00C63209"/>
    <w:rsid w:val="00C637C1"/>
    <w:rsid w:val="00C71630"/>
    <w:rsid w:val="00C83E1A"/>
    <w:rsid w:val="00C85DF6"/>
    <w:rsid w:val="00CA1387"/>
    <w:rsid w:val="00CA38C8"/>
    <w:rsid w:val="00CA3BFD"/>
    <w:rsid w:val="00CA485A"/>
    <w:rsid w:val="00CA6108"/>
    <w:rsid w:val="00CB419D"/>
    <w:rsid w:val="00CB6626"/>
    <w:rsid w:val="00CB7144"/>
    <w:rsid w:val="00CD6C91"/>
    <w:rsid w:val="00CD7E44"/>
    <w:rsid w:val="00CE0227"/>
    <w:rsid w:val="00CE0C7C"/>
    <w:rsid w:val="00CE530A"/>
    <w:rsid w:val="00CE732D"/>
    <w:rsid w:val="00CF46CE"/>
    <w:rsid w:val="00CF6A76"/>
    <w:rsid w:val="00D02772"/>
    <w:rsid w:val="00D03B6A"/>
    <w:rsid w:val="00D128C2"/>
    <w:rsid w:val="00D1302B"/>
    <w:rsid w:val="00D20DED"/>
    <w:rsid w:val="00D476A7"/>
    <w:rsid w:val="00D52F71"/>
    <w:rsid w:val="00D6195E"/>
    <w:rsid w:val="00D66400"/>
    <w:rsid w:val="00D67703"/>
    <w:rsid w:val="00D71916"/>
    <w:rsid w:val="00D733F5"/>
    <w:rsid w:val="00D86BFB"/>
    <w:rsid w:val="00D9109B"/>
    <w:rsid w:val="00DA034C"/>
    <w:rsid w:val="00DB0AB2"/>
    <w:rsid w:val="00DB4EE3"/>
    <w:rsid w:val="00DB50B9"/>
    <w:rsid w:val="00DC2433"/>
    <w:rsid w:val="00DD3C11"/>
    <w:rsid w:val="00DE0D38"/>
    <w:rsid w:val="00DE19D9"/>
    <w:rsid w:val="00DE529C"/>
    <w:rsid w:val="00DF0B21"/>
    <w:rsid w:val="00DF0BB6"/>
    <w:rsid w:val="00E115D1"/>
    <w:rsid w:val="00E12F95"/>
    <w:rsid w:val="00E2246E"/>
    <w:rsid w:val="00E23AF4"/>
    <w:rsid w:val="00E2778E"/>
    <w:rsid w:val="00E27866"/>
    <w:rsid w:val="00E32590"/>
    <w:rsid w:val="00E3511E"/>
    <w:rsid w:val="00E42AC7"/>
    <w:rsid w:val="00E45F79"/>
    <w:rsid w:val="00E511D8"/>
    <w:rsid w:val="00E579FC"/>
    <w:rsid w:val="00E6169C"/>
    <w:rsid w:val="00E6397E"/>
    <w:rsid w:val="00E706CC"/>
    <w:rsid w:val="00E77F7A"/>
    <w:rsid w:val="00E8088E"/>
    <w:rsid w:val="00E856F7"/>
    <w:rsid w:val="00E85C91"/>
    <w:rsid w:val="00EA1A2E"/>
    <w:rsid w:val="00EA218B"/>
    <w:rsid w:val="00EB0492"/>
    <w:rsid w:val="00EB199B"/>
    <w:rsid w:val="00EC1EAF"/>
    <w:rsid w:val="00EC4089"/>
    <w:rsid w:val="00EC5E9E"/>
    <w:rsid w:val="00ED1853"/>
    <w:rsid w:val="00ED3D87"/>
    <w:rsid w:val="00ED48C5"/>
    <w:rsid w:val="00ED5F88"/>
    <w:rsid w:val="00ED7B0A"/>
    <w:rsid w:val="00EE0D8A"/>
    <w:rsid w:val="00EF0771"/>
    <w:rsid w:val="00F028B8"/>
    <w:rsid w:val="00F03D7A"/>
    <w:rsid w:val="00F042B8"/>
    <w:rsid w:val="00F06C66"/>
    <w:rsid w:val="00F110A9"/>
    <w:rsid w:val="00F1687A"/>
    <w:rsid w:val="00F35CF4"/>
    <w:rsid w:val="00F401EE"/>
    <w:rsid w:val="00F46CA0"/>
    <w:rsid w:val="00F53DD1"/>
    <w:rsid w:val="00F61097"/>
    <w:rsid w:val="00F827BF"/>
    <w:rsid w:val="00F86FBF"/>
    <w:rsid w:val="00F93BA5"/>
    <w:rsid w:val="00FA5AB3"/>
    <w:rsid w:val="00FC0BD3"/>
    <w:rsid w:val="00FC5F87"/>
    <w:rsid w:val="00FC73EA"/>
    <w:rsid w:val="00FD1390"/>
    <w:rsid w:val="00FE0379"/>
    <w:rsid w:val="00FE228D"/>
    <w:rsid w:val="00FE4917"/>
    <w:rsid w:val="00FE6C0F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9C0E0"/>
  <w15:chartTrackingRefBased/>
  <w15:docId w15:val="{4142681E-A039-4992-968E-F926D63C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9D7118"/>
    <w:pPr>
      <w:numPr>
        <w:numId w:val="13"/>
      </w:numPr>
      <w:spacing w:before="480" w:after="240" w:line="240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customStyle="1" w:styleId="Default">
    <w:name w:val="Default"/>
    <w:rsid w:val="00622C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pn">
    <w:name w:val="spn"/>
    <w:basedOn w:val="Fontepargpadro"/>
    <w:rsid w:val="00622CD0"/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9D7118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9D7118"/>
    <w:pPr>
      <w:numPr>
        <w:ilvl w:val="1"/>
        <w:numId w:val="13"/>
      </w:numPr>
      <w:spacing w:before="240" w:after="240" w:line="240" w:lineRule="auto"/>
      <w:jc w:val="both"/>
    </w:pPr>
    <w:rPr>
      <w:rFonts w:ascii="Arial" w:hAnsi="Arial"/>
      <w:sz w:val="24"/>
    </w:rPr>
  </w:style>
  <w:style w:type="paragraph" w:customStyle="1" w:styleId="N111">
    <w:name w:val="N 1.1.1"/>
    <w:basedOn w:val="N11"/>
    <w:link w:val="N111Char"/>
    <w:qFormat/>
    <w:rsid w:val="009D7118"/>
    <w:pPr>
      <w:numPr>
        <w:ilvl w:val="2"/>
      </w:numPr>
      <w:ind w:left="0"/>
    </w:pPr>
  </w:style>
  <w:style w:type="paragraph" w:customStyle="1" w:styleId="N1111">
    <w:name w:val="N 1.1.1.1"/>
    <w:basedOn w:val="N111"/>
    <w:qFormat/>
    <w:rsid w:val="009D7118"/>
    <w:pPr>
      <w:numPr>
        <w:ilvl w:val="3"/>
      </w:numPr>
      <w:ind w:left="2880" w:hanging="360"/>
    </w:pPr>
  </w:style>
  <w:style w:type="character" w:customStyle="1" w:styleId="N11Char">
    <w:name w:val="N 1.1 Char"/>
    <w:basedOn w:val="Fontepargpadro"/>
    <w:link w:val="N11"/>
    <w:rsid w:val="009D7118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9D7118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9D7118"/>
    <w:pPr>
      <w:numPr>
        <w:ilvl w:val="6"/>
        <w:numId w:val="13"/>
      </w:numPr>
      <w:spacing w:before="240" w:after="240" w:line="240" w:lineRule="auto"/>
      <w:jc w:val="both"/>
    </w:pPr>
    <w:rPr>
      <w:rFonts w:ascii="Arial" w:hAnsi="Arial"/>
      <w:sz w:val="24"/>
      <w:lang w:val="it-IT"/>
    </w:rPr>
  </w:style>
  <w:style w:type="character" w:customStyle="1" w:styleId="NabcChar">
    <w:name w:val="N abc Char"/>
    <w:basedOn w:val="Fontepargpadro"/>
    <w:link w:val="Nabc"/>
    <w:rsid w:val="009D7118"/>
    <w:rPr>
      <w:rFonts w:ascii="Arial" w:hAnsi="Arial"/>
      <w:sz w:val="24"/>
      <w:lang w:val="it-IT"/>
    </w:rPr>
  </w:style>
  <w:style w:type="character" w:styleId="Hyperlink">
    <w:name w:val="Hyperlink"/>
    <w:basedOn w:val="Fontepargpadro"/>
    <w:uiPriority w:val="99"/>
    <w:unhideWhenUsed/>
    <w:rsid w:val="00881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talsiga.es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pras.es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11E0-00E7-417B-8EA7-B6D62B8B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2924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</cp:lastModifiedBy>
  <cp:revision>37</cp:revision>
  <cp:lastPrinted>2022-10-04T18:23:00Z</cp:lastPrinted>
  <dcterms:created xsi:type="dcterms:W3CDTF">2022-09-22T18:29:00Z</dcterms:created>
  <dcterms:modified xsi:type="dcterms:W3CDTF">2022-10-05T12:03:00Z</dcterms:modified>
</cp:coreProperties>
</file>